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eastAsia="方正小标宋_GBK"/>
          <w:sz w:val="52"/>
          <w:szCs w:val="52"/>
        </w:rPr>
      </w:pPr>
      <w:bookmarkStart w:id="0" w:name="_GoBack"/>
      <w:bookmarkEnd w:id="0"/>
      <w:r>
        <w:rPr>
          <w:rFonts w:ascii="方正小标宋简体" w:eastAsia="方正小标宋简体"/>
          <w:sz w:val="52"/>
          <w:szCs w:val="44"/>
        </w:rPr>
        <w:t>2022年度</w:t>
      </w:r>
      <w:r>
        <w:rPr>
          <w:rFonts w:hint="eastAsia" w:ascii="方正小标宋简体" w:eastAsia="方正小标宋简体"/>
          <w:sz w:val="52"/>
          <w:szCs w:val="44"/>
          <w:lang w:eastAsia="zh-CN"/>
        </w:rPr>
        <w:t>株洲职业教育科技园管理办公室</w:t>
      </w:r>
      <w:r>
        <w:rPr>
          <w:rFonts w:ascii="方正小标宋简体" w:eastAsia="方正小标宋简体"/>
          <w:sz w:val="52"/>
          <w:szCs w:val="44"/>
        </w:rPr>
        <w:t>整体支出绩效自评报告</w:t>
      </w:r>
    </w:p>
    <w:p>
      <w:pPr>
        <w:rPr>
          <w:rFonts w:eastAsia="黑体"/>
          <w:sz w:val="32"/>
          <w:szCs w:val="32"/>
        </w:rPr>
      </w:pPr>
    </w:p>
    <w:p>
      <w:pPr>
        <w:spacing w:line="560" w:lineRule="exact"/>
        <w:ind w:firstLine="640" w:firstLineChars="200"/>
        <w:rPr>
          <w:rFonts w:eastAsia="黑体"/>
          <w:sz w:val="32"/>
          <w:szCs w:val="32"/>
        </w:rPr>
      </w:pPr>
      <w:r>
        <w:rPr>
          <w:rFonts w:hint="eastAsia" w:eastAsia="黑体"/>
          <w:sz w:val="32"/>
          <w:szCs w:val="32"/>
        </w:rPr>
        <w:t>一、</w:t>
      </w:r>
      <w:r>
        <w:rPr>
          <w:rFonts w:eastAsia="黑体"/>
          <w:sz w:val="32"/>
          <w:szCs w:val="32"/>
        </w:rPr>
        <w:t>部门（单位）基本情况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楷体_GBK" w:hAnsi="方正楷体_GBK" w:eastAsia="方正楷体_GBK" w:cs="方正楷体_GBK"/>
          <w:sz w:val="32"/>
          <w:szCs w:val="32"/>
          <w:lang w:val="en" w:eastAsia="zh-CN"/>
        </w:rPr>
      </w:pP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lang w:val="en" w:eastAsia="zh-CN"/>
        </w:rPr>
        <w:t>一</w:t>
      </w:r>
      <w:r>
        <w:rPr>
          <w:rFonts w:hint="eastAsia" w:ascii="方正楷体_GBK" w:hAnsi="方正楷体_GBK" w:eastAsia="方正楷体_GBK" w:cs="方正楷体_GBK"/>
          <w:sz w:val="32"/>
          <w:szCs w:val="32"/>
          <w:lang w:val="en"/>
        </w:rPr>
        <w:t>)</w:t>
      </w:r>
      <w:r>
        <w:rPr>
          <w:rFonts w:hint="eastAsia" w:ascii="方正楷体_GBK" w:hAnsi="方正楷体_GBK" w:eastAsia="方正楷体_GBK" w:cs="方正楷体_GBK"/>
          <w:sz w:val="32"/>
          <w:szCs w:val="32"/>
          <w:lang w:val="en" w:eastAsia="zh-CN"/>
        </w:rPr>
        <w:t>主要职能</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按照市委“管总、总管、总统筹”职教园建设发展的要求，管理办立足“管理、服务、协调”职责定位，切实履行园区主管部门责任，主要职责：</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）贯彻执行市委市政府有关株洲职业教育科技园发展的方针政策和规划，负责园区内的规划和管理，统筹协调园区公共设施、院校建设规划和产业发展规划及管理。</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）负责园区共享设施与公共配套设施的管理与维护，对入园机构进行有关管理。</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）负责园区院校职教改革的指导与服务，负责各类职业技能培训的协调和服务。</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）负责统筹协调园区内的招商开发、校企合作、人才交流、成果推介、信息交流等活动。</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）负责协调园区内的安全生产、综合治理、文化、教育、卫生、食品安全等社会事务工作。</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）完成市政府交办的其他工作。</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default" w:ascii="方正楷体_GBK" w:hAnsi="方正楷体_GBK" w:eastAsia="方正楷体_GBK" w:cs="方正楷体_GBK"/>
          <w:sz w:val="32"/>
          <w:szCs w:val="32"/>
          <w:lang w:val="en"/>
        </w:rPr>
      </w:pPr>
      <w:r>
        <w:rPr>
          <w:rFonts w:hint="default" w:ascii="方正楷体_GBK" w:hAnsi="方正楷体_GBK" w:eastAsia="方正楷体_GBK" w:cs="方正楷体_GBK"/>
          <w:sz w:val="32"/>
          <w:szCs w:val="32"/>
          <w:lang w:val="en-US" w:eastAsia="zh-CN"/>
        </w:rPr>
        <w:t>（二）机构设置及人员情况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株洲职业教育科技园管理办公室为市人民政府管理的正处级公益一类事业单位</w:t>
      </w:r>
      <w:r>
        <w:rPr>
          <w:rFonts w:hint="eastAsia" w:ascii="仿宋_GB2312" w:eastAsia="仿宋_GB2312"/>
          <w:sz w:val="32"/>
          <w:szCs w:val="32"/>
          <w:lang w:eastAsia="zh-CN"/>
        </w:rPr>
        <w:t>。</w:t>
      </w:r>
      <w:r>
        <w:rPr>
          <w:rFonts w:hint="eastAsia" w:ascii="仿宋_GB2312" w:eastAsia="仿宋_GB2312"/>
          <w:sz w:val="32"/>
          <w:szCs w:val="32"/>
          <w:lang w:val="en-US" w:eastAsia="zh-CN"/>
        </w:rPr>
        <w:t>内设综合科、发展规划科、科教事业科、社会事务科</w:t>
      </w:r>
      <w:r>
        <w:rPr>
          <w:rFonts w:hint="default" w:ascii="仿宋_GB2312" w:eastAsia="仿宋_GB2312"/>
          <w:sz w:val="32"/>
          <w:szCs w:val="32"/>
          <w:lang w:val="en-US" w:eastAsia="zh-CN"/>
        </w:rPr>
        <w:t>4个科室</w:t>
      </w:r>
      <w:r>
        <w:rPr>
          <w:rFonts w:hint="eastAsia" w:ascii="仿宋_GB2312" w:eastAsia="仿宋_GB2312"/>
          <w:sz w:val="32"/>
          <w:szCs w:val="32"/>
          <w:lang w:val="en-US" w:eastAsia="zh-CN"/>
        </w:rPr>
        <w:t>。</w:t>
      </w:r>
      <w:r>
        <w:rPr>
          <w:rFonts w:hint="default" w:ascii="仿宋_GB2312" w:eastAsia="仿宋_GB2312"/>
          <w:sz w:val="32"/>
          <w:szCs w:val="32"/>
          <w:lang w:val="en-US" w:eastAsia="zh-CN"/>
        </w:rPr>
        <w:t>本部门核定编制16人，截止202</w:t>
      </w:r>
      <w:r>
        <w:rPr>
          <w:rFonts w:hint="eastAsia" w:ascii="仿宋_GB2312" w:eastAsia="仿宋_GB2312"/>
          <w:sz w:val="32"/>
          <w:szCs w:val="32"/>
          <w:lang w:val="en-US" w:eastAsia="zh-CN"/>
        </w:rPr>
        <w:t>2</w:t>
      </w:r>
      <w:r>
        <w:rPr>
          <w:rFonts w:hint="default" w:ascii="仿宋_GB2312" w:eastAsia="仿宋_GB2312"/>
          <w:sz w:val="32"/>
          <w:szCs w:val="32"/>
          <w:lang w:val="en-US" w:eastAsia="zh-CN"/>
        </w:rPr>
        <w:t>年12月31日在编人员</w:t>
      </w:r>
      <w:r>
        <w:rPr>
          <w:rFonts w:hint="eastAsia" w:ascii="仿宋_GB2312" w:eastAsia="仿宋_GB2312"/>
          <w:sz w:val="32"/>
          <w:szCs w:val="32"/>
          <w:lang w:val="en-US" w:eastAsia="zh-CN"/>
        </w:rPr>
        <w:t>15</w:t>
      </w:r>
      <w:r>
        <w:rPr>
          <w:rFonts w:hint="default" w:ascii="仿宋_GB2312" w:eastAsia="仿宋_GB2312"/>
          <w:sz w:val="32"/>
          <w:szCs w:val="32"/>
          <w:lang w:val="en-US" w:eastAsia="zh-CN"/>
        </w:rPr>
        <w:t>人，退休人员</w:t>
      </w:r>
      <w:r>
        <w:rPr>
          <w:rFonts w:hint="eastAsia" w:ascii="仿宋_GB2312" w:eastAsia="仿宋_GB2312"/>
          <w:sz w:val="32"/>
          <w:szCs w:val="32"/>
          <w:lang w:val="en-US" w:eastAsia="zh-CN"/>
        </w:rPr>
        <w:t>3</w:t>
      </w:r>
      <w:r>
        <w:rPr>
          <w:rFonts w:hint="default" w:ascii="仿宋_GB2312" w:eastAsia="仿宋_GB2312"/>
          <w:sz w:val="32"/>
          <w:szCs w:val="32"/>
          <w:lang w:val="en-US" w:eastAsia="zh-CN"/>
        </w:rPr>
        <w:t>名，劳务派遣人员</w:t>
      </w:r>
      <w:r>
        <w:rPr>
          <w:rFonts w:hint="eastAsia" w:ascii="仿宋_GB2312" w:eastAsia="仿宋_GB2312"/>
          <w:sz w:val="32"/>
          <w:szCs w:val="32"/>
          <w:lang w:val="en-US" w:eastAsia="zh-CN"/>
        </w:rPr>
        <w:t>3</w:t>
      </w:r>
      <w:r>
        <w:rPr>
          <w:rFonts w:hint="default" w:ascii="仿宋_GB2312" w:eastAsia="仿宋_GB2312"/>
          <w:sz w:val="32"/>
          <w:szCs w:val="32"/>
          <w:lang w:val="en-US" w:eastAsia="zh-CN"/>
        </w:rPr>
        <w:t>名。本单位无下属机构。</w:t>
      </w:r>
    </w:p>
    <w:p>
      <w:pPr>
        <w:pStyle w:val="7"/>
        <w:widowControl/>
        <w:spacing w:line="56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tabs>
          <w:tab w:val="left" w:pos="7560"/>
        </w:tabs>
        <w:adjustRightInd w:val="0"/>
        <w:snapToGrid w:val="0"/>
        <w:spacing w:line="560" w:lineRule="exact"/>
        <w:ind w:firstLine="640" w:firstLineChars="200"/>
        <w:jc w:val="left"/>
        <w:rPr>
          <w:rFonts w:ascii="楷体_GB2312" w:eastAsia="楷体_GB2312"/>
          <w:sz w:val="32"/>
          <w:szCs w:val="32"/>
        </w:rPr>
      </w:pPr>
      <w:r>
        <w:rPr>
          <w:rFonts w:ascii="楷体_GB2312" w:eastAsia="楷体_GB2312"/>
          <w:sz w:val="32"/>
          <w:szCs w:val="32"/>
        </w:rPr>
        <w:t>（一）基本支出情况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2022年支出503.04万元，其中基本支出423.1万元。</w:t>
      </w:r>
    </w:p>
    <w:p>
      <w:pPr>
        <w:numPr>
          <w:ilvl w:val="0"/>
          <w:numId w:val="1"/>
        </w:numPr>
        <w:tabs>
          <w:tab w:val="left" w:pos="7560"/>
        </w:tabs>
        <w:adjustRightInd w:val="0"/>
        <w:snapToGrid w:val="0"/>
        <w:spacing w:line="560" w:lineRule="exact"/>
        <w:ind w:firstLine="640" w:firstLineChars="200"/>
        <w:jc w:val="left"/>
        <w:rPr>
          <w:rFonts w:ascii="楷体_GB2312" w:eastAsia="楷体_GB2312"/>
          <w:sz w:val="32"/>
          <w:szCs w:val="32"/>
        </w:rPr>
      </w:pPr>
      <w:r>
        <w:rPr>
          <w:rFonts w:ascii="楷体_GB2312" w:eastAsia="楷体_GB2312"/>
          <w:sz w:val="32"/>
          <w:szCs w:val="32"/>
        </w:rPr>
        <w:t>项目支出情况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default" w:ascii="楷体_GB2312" w:eastAsia="楷体_GB2312"/>
          <w:sz w:val="32"/>
          <w:szCs w:val="32"/>
          <w:lang w:val="en-US" w:eastAsia="zh-CN"/>
        </w:rPr>
      </w:pPr>
      <w:r>
        <w:rPr>
          <w:rFonts w:hint="eastAsia" w:ascii="仿宋_GB2312" w:eastAsia="仿宋_GB2312"/>
          <w:sz w:val="32"/>
          <w:szCs w:val="32"/>
          <w:lang w:val="en-US" w:eastAsia="zh-CN"/>
        </w:rPr>
        <w:t>2022年支出503.04万元，其中项目支出79.94万元。</w:t>
      </w:r>
    </w:p>
    <w:p>
      <w:pPr>
        <w:pStyle w:val="7"/>
        <w:widowControl/>
        <w:numPr>
          <w:ilvl w:val="0"/>
          <w:numId w:val="2"/>
        </w:numPr>
        <w:spacing w:line="560" w:lineRule="exact"/>
        <w:ind w:firstLine="640"/>
        <w:jc w:val="left"/>
        <w:rPr>
          <w:rFonts w:ascii="Times New Roman" w:hAnsi="Times New Roman" w:eastAsia="黑体"/>
          <w:sz w:val="32"/>
          <w:szCs w:val="32"/>
        </w:rPr>
      </w:pPr>
      <w:r>
        <w:rPr>
          <w:rFonts w:ascii="Times New Roman" w:hAnsi="Times New Roman" w:eastAsia="黑体"/>
          <w:sz w:val="32"/>
          <w:szCs w:val="32"/>
        </w:rPr>
        <w:t>政府性基金预算支出情况</w:t>
      </w:r>
    </w:p>
    <w:p>
      <w:pPr>
        <w:pStyle w:val="7"/>
        <w:widowControl/>
        <w:numPr>
          <w:ilvl w:val="0"/>
          <w:numId w:val="0"/>
        </w:numPr>
        <w:spacing w:line="560" w:lineRule="exact"/>
        <w:jc w:val="left"/>
        <w:rPr>
          <w:rFonts w:hint="default" w:ascii="仿宋_GB2312" w:hAnsi="Times New Roman" w:eastAsia="仿宋_GB2312" w:cs="Times New Roman"/>
          <w:kern w:val="2"/>
          <w:sz w:val="32"/>
          <w:szCs w:val="32"/>
          <w:lang w:val="en-US" w:eastAsia="zh-CN" w:bidi="ar-SA"/>
        </w:rPr>
      </w:pPr>
      <w:r>
        <w:rPr>
          <w:rFonts w:hint="eastAsia" w:ascii="Times New Roman" w:hAnsi="Times New Roman" w:eastAsia="黑体"/>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2022年无政府性基金预算支出。</w:t>
      </w:r>
    </w:p>
    <w:p>
      <w:pPr>
        <w:pStyle w:val="7"/>
        <w:widowControl/>
        <w:numPr>
          <w:ilvl w:val="0"/>
          <w:numId w:val="2"/>
        </w:numPr>
        <w:spacing w:line="560" w:lineRule="exact"/>
        <w:ind w:left="0" w:leftChars="0" w:firstLine="640" w:firstLineChars="200"/>
        <w:jc w:val="left"/>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7"/>
        <w:widowControl/>
        <w:numPr>
          <w:ilvl w:val="0"/>
          <w:numId w:val="0"/>
        </w:numPr>
        <w:spacing w:line="560" w:lineRule="exact"/>
        <w:jc w:val="lef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2022年无国有资本经营预算支出。</w:t>
      </w:r>
    </w:p>
    <w:p>
      <w:pPr>
        <w:pStyle w:val="7"/>
        <w:widowControl/>
        <w:numPr>
          <w:ilvl w:val="0"/>
          <w:numId w:val="2"/>
        </w:numPr>
        <w:spacing w:line="560" w:lineRule="exact"/>
        <w:ind w:left="0" w:leftChars="0" w:firstLine="640" w:firstLineChars="200"/>
        <w:jc w:val="left"/>
        <w:rPr>
          <w:rFonts w:hint="eastAsia" w:ascii="Times New Roman" w:hAnsi="Times New Roman" w:eastAsia="黑体"/>
          <w:sz w:val="32"/>
          <w:szCs w:val="32"/>
          <w:lang w:val="en-US" w:eastAsia="zh-CN"/>
        </w:rPr>
      </w:pPr>
      <w:r>
        <w:rPr>
          <w:rFonts w:ascii="Times New Roman" w:hAnsi="Times New Roman" w:eastAsia="黑体"/>
          <w:sz w:val="32"/>
          <w:szCs w:val="32"/>
        </w:rPr>
        <w:t>社会保险基金预算支出情况</w:t>
      </w:r>
    </w:p>
    <w:p>
      <w:pPr>
        <w:pStyle w:val="7"/>
        <w:widowControl/>
        <w:numPr>
          <w:ilvl w:val="0"/>
          <w:numId w:val="0"/>
        </w:numPr>
        <w:spacing w:line="560" w:lineRule="exact"/>
        <w:ind w:leftChars="200" w:firstLine="320" w:firstLineChars="100"/>
        <w:jc w:val="left"/>
        <w:rPr>
          <w:rFonts w:hint="eastAsia" w:ascii="Times New Roman" w:hAnsi="Times New Roman" w:eastAsia="黑体"/>
          <w:sz w:val="32"/>
          <w:szCs w:val="32"/>
          <w:lang w:val="en-US" w:eastAsia="zh-CN"/>
        </w:rPr>
      </w:pPr>
      <w:r>
        <w:rPr>
          <w:rFonts w:hint="eastAsia" w:ascii="仿宋_GB2312" w:hAnsi="Times New Roman" w:eastAsia="仿宋_GB2312" w:cs="Times New Roman"/>
          <w:kern w:val="2"/>
          <w:sz w:val="32"/>
          <w:szCs w:val="32"/>
          <w:lang w:val="en-US" w:eastAsia="zh-CN" w:bidi="ar-SA"/>
        </w:rPr>
        <w:t>2022年无社会保险基金预算支出。</w:t>
      </w:r>
    </w:p>
    <w:p>
      <w:pPr>
        <w:widowControl/>
        <w:spacing w:line="560" w:lineRule="exact"/>
        <w:ind w:firstLine="645"/>
        <w:jc w:val="left"/>
        <w:rPr>
          <w:rFonts w:eastAsia="黑体"/>
          <w:sz w:val="32"/>
          <w:szCs w:val="32"/>
        </w:rPr>
      </w:pPr>
      <w:r>
        <w:rPr>
          <w:rFonts w:eastAsia="黑体"/>
          <w:sz w:val="32"/>
          <w:szCs w:val="32"/>
        </w:rPr>
        <w:t>六、</w:t>
      </w:r>
      <w:r>
        <w:rPr>
          <w:rFonts w:hint="eastAsia" w:ascii="黑体" w:hAnsi="黑体" w:eastAsia="黑体"/>
          <w:sz w:val="32"/>
          <w:szCs w:val="32"/>
        </w:rPr>
        <w:t>资金使用及绩效情况（包含单位管理的公共专项）</w:t>
      </w:r>
    </w:p>
    <w:p>
      <w:pPr>
        <w:tabs>
          <w:tab w:val="left" w:pos="7560"/>
        </w:tabs>
        <w:adjustRightInd w:val="0"/>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（一）整体支出绩效情况</w:t>
      </w:r>
    </w:p>
    <w:p>
      <w:pPr>
        <w:tabs>
          <w:tab w:val="left" w:pos="7560"/>
        </w:tabs>
        <w:adjustRightInd w:val="0"/>
        <w:snapToGrid w:val="0"/>
        <w:spacing w:line="56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全力推进职教科创城提质升级工作。（1）明晰发展规划，细化建设举措。牵头做好《湖南职业教育科创城控制性详细规划》的编制审批工作，对职教城用地进行调规扩容，新增职业教育院校用地1204亩，预留816亩新增院校用地，满足院校升级升格及未来发展用地需求；出台《湖南九郎山职教科创城提质升级五年行动方案（2022-2026）》，明确了提质升级工作任务和具体要求，定期调度，有序推进。（2）搭建工作平台，争取高位推动。积极联系对接省教育厅促成厅市联合专班，对湖南九郎山职教科创城实施共建，并争取到省教育厅每年不低于500万元资金，用于职教科创城内公共实训基地建设。牵头起草《关于支持九郎山职教科创城提质升级的若干意见（代拟稿）》，由省教育厅与市政府联名提请省政府出台专项政策支持。（3）完成公司组建，推进项目建设。成功推动湖南九郎山职教科创城发展集团有限公司成立，专项负责职教科创城范围内项目开发、建设及运营等工作；启动厚信路、智慧路拓宽工程、崇德路、藏龙路、书路、谭海路、泉塘路等道路建设，打造园区交通路网内外循环，书路、谭海路、泉塘路已于9月底建成通车；完善职教科创城周边商业、医疗等基础配套设施，拟按照“一馆三用”模式（即市公共图书馆、职教科创城和汽车职院图书馆三馆合一），新建院校共享图书馆；推进大丰学校、省直中医院云龙医院等项目建设，提升园区承载能力；全年启动涉及数字工业、智能制造、轨道交通、航天航空等5个实训中心建设项目，其中数字工业实训中心已建成并投入使用。</w:t>
      </w:r>
    </w:p>
    <w:p>
      <w:pPr>
        <w:tabs>
          <w:tab w:val="left" w:pos="7560"/>
        </w:tabs>
        <w:adjustRightInd w:val="0"/>
        <w:snapToGrid w:val="0"/>
        <w:spacing w:line="56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加大人才培养力度。联合市委人才办等部门出台《湖南九郎山职业教育科创城校企联合培养技能人才专项考核办法（试行）》，对提升毕业生本地就业率的院校予以资金奖励，为技术技能人才留株服务提供了政策保障；联合高新区组织开展了访企拓岗促就业活动、职教学子打卡株洲（高新）企业校企对接活动；组织开展“乐业株洲职教担当”线上直播招聘会，以及株洲中小企业园区专场招聘会，共有65家企业、1.46万人次参加；落实大学生创新创业三年攻坚行动计划，2022年度职教科创城毕业生毕业去向落实率达91%以上。</w:t>
      </w:r>
    </w:p>
    <w:p>
      <w:pPr>
        <w:tabs>
          <w:tab w:val="left" w:pos="7560"/>
        </w:tabs>
        <w:adjustRightInd w:val="0"/>
        <w:snapToGrid w:val="0"/>
        <w:spacing w:line="56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深入推进产教融合。完成2021年度“双师”工作室考核与第四批双师工作室申报工作，评选优秀名师工作室15个、大师工作室10个，搭建校企合作育人平台；出台《株洲市职业院校产业学院建设与管理办法》和《株洲市职业院校社区学院建设与管理办法》实施意见</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完成商业技师学院零售产业学院筹备工作、新增马鞍社区学院，截止目前共有产业学院9个、社区学院11个；组织湖南九郎山职教科创城、株洲北斗产业园校企对接活动，完成北斗产业人才培养校企合作平台的搭建。</w:t>
      </w:r>
    </w:p>
    <w:p>
      <w:pPr>
        <w:tabs>
          <w:tab w:val="left" w:pos="7560"/>
        </w:tabs>
        <w:adjustRightInd w:val="0"/>
        <w:snapToGrid w:val="0"/>
        <w:spacing w:line="56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构建和谐平安园区。联合疾控部门对院校春秋季开学防疫准备工作精心督查，组织552名教职工开展信息采集员培训，提升院校疫情防控应急处置能力；开展核酸检测11轮以上，参与人次预计90万人以上，累计督查院校350余人次，解决问题32个；协调公交公司、湘运集团等部门，做好了大学生返乡工作；组织院校扎实开展了普法宣传、禁毒宣传、反诈打跨等活动，学习《国家安全法》《民法典》等法律法规，强化师生“珍爱生命、远离毒品”的意识、提高了师生防骗意识；开展房屋安全专项整治，共排查问题场所164处，对存在安全隐患的各类自建房，联系有关部门实行停用或拆除，坚决杜绝房屋倒塌事件发生，切实保障师生生命财产安全；积极处理信访投诉事件，全年共接到投诉反映事件12起（退单4起），妥善处理8起，办结率100%。管理办荣获2021-2022年度株洲市“禁毒宣传教育工作先进单位”。</w:t>
      </w:r>
    </w:p>
    <w:p>
      <w:pPr>
        <w:tabs>
          <w:tab w:val="left" w:pos="7560"/>
        </w:tabs>
        <w:adjustRightInd w:val="0"/>
        <w:snapToGrid w:val="0"/>
        <w:spacing w:line="56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推进园区品牌建设。全年承办湖南省第一届职业技能大赛、全国职业院校技能大赛高职组赛项等大型赛事。其中湖南省第一届职业技能大赛共有全省14个市州、1087名选手参赛，是湖南省历史上规模最大的职业技能赛事</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提升了</w:t>
      </w:r>
      <w:r>
        <w:rPr>
          <w:rFonts w:hint="eastAsia" w:ascii="仿宋_GB2312" w:eastAsia="仿宋_GB2312" w:cs="Times New Roman"/>
          <w:kern w:val="2"/>
          <w:sz w:val="32"/>
          <w:szCs w:val="32"/>
          <w:lang w:val="en-US" w:eastAsia="zh-CN" w:bidi="ar-SA"/>
        </w:rPr>
        <w:t>园区</w:t>
      </w:r>
      <w:r>
        <w:rPr>
          <w:rFonts w:hint="eastAsia" w:ascii="仿宋_GB2312" w:hAnsi="Times New Roman" w:eastAsia="仿宋_GB2312" w:cs="Times New Roman"/>
          <w:kern w:val="2"/>
          <w:sz w:val="32"/>
          <w:szCs w:val="32"/>
          <w:lang w:val="en-US" w:eastAsia="zh-CN" w:bidi="ar-SA"/>
        </w:rPr>
        <w:t>美誉度；联合湖南日报、株洲日报、株洲广电等省、市媒体围绕“湖南九郎山职教科创城提质升级”推出各类专题、短视频等素材</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使“九郎山职教科创城”的名字快速传播；全年接待全国政协、全国总工会、中央民盟、教育部、辽宁省、河南省、江西省等领导同志调研学习考察活动20余批次，增强了上级领导和社会各界对职教科创城的关注度。</w:t>
      </w:r>
    </w:p>
    <w:p>
      <w:pPr>
        <w:tabs>
          <w:tab w:val="left" w:pos="7560"/>
        </w:tabs>
        <w:adjustRightInd w:val="0"/>
        <w:snapToGrid w:val="0"/>
        <w:spacing w:line="560" w:lineRule="exact"/>
        <w:ind w:firstLine="640" w:firstLineChars="200"/>
        <w:jc w:val="left"/>
        <w:rPr>
          <w:rFonts w:hint="eastAsia" w:ascii="楷体_GB2312" w:eastAsia="楷体_GB2312"/>
          <w:sz w:val="32"/>
          <w:szCs w:val="32"/>
        </w:rPr>
      </w:pPr>
      <w:r>
        <w:rPr>
          <w:rFonts w:hint="eastAsia" w:ascii="楷体_GB2312" w:eastAsia="楷体_GB2312"/>
          <w:sz w:val="32"/>
          <w:szCs w:val="32"/>
        </w:rPr>
        <w:t>（二）项目支出绩效情况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年中追加项目“职业发展教育专项经费”，金额20万元，实际支出19.94万元，结余结转0.06万元。该项目主要用于职业教育法的宣传、“百舸争流千帆竞发”党史知识竞赛奖金发放、乡村振兴工作。项目实施及绩效情况如下：新职业教育法近26年来的首次修订，在法律层面明确了职业教育是与普通教育具有同等重要地位的教育类型，在园区宣传和普及新职业教育法，对园区师生深刻理解新职业教育法，认清职业教育的重要意义及如何办好职业教育起到了积极作用，营造了普法学法的氛围，扩大了职业教育的影响力。2021年职教园管理办举办的“百舸争流 千帆竞发”百年千题党史知识擂台赛，参与人数近12万人，全面激发了师生学习党史的兴趣，在园区形成党史学习浓厚氛围。2022年，职教园管理办联点醴陵孙家湾村，选派专人、筹集专款，指导村集体党建和经济社会发展，孙家湾乡村振兴工作走在全市前列，全年乡村振兴累计开支达22万。</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年中追加项目“教育经费”，金额20万元，实际支出20万元，结余结转0万元。该项目主要用于提质升级专项工作开支以及宣传视频制作。项目实施及绩效情况如下：2022年湖南九郎山提质升级工作在机制体制、内涵建设、项目建设、产教融合等方面取得了实质性的成效，成立了市级工作专班和厅市共建共管的联合工作专班</w:t>
      </w:r>
      <w:r>
        <w:rPr>
          <w:rFonts w:hint="default"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出台了《湖南九郎山职教科创城提质升级五年行动方案》；成立九郎山职教科创城发展集团有限公司，专注</w:t>
      </w:r>
      <w:r>
        <w:rPr>
          <w:rFonts w:hint="default" w:ascii="仿宋_GB2312" w:hAnsi="Times New Roman" w:eastAsia="仿宋_GB2312" w:cs="Times New Roman"/>
          <w:sz w:val="32"/>
          <w:szCs w:val="32"/>
          <w:lang w:val="en-US" w:eastAsia="zh-CN"/>
        </w:rPr>
        <w:t>片区开发</w:t>
      </w:r>
      <w:r>
        <w:rPr>
          <w:rFonts w:hint="eastAsia" w:ascii="仿宋_GB2312" w:hAnsi="Times New Roman" w:eastAsia="仿宋_GB2312" w:cs="Times New Roman"/>
          <w:sz w:val="32"/>
          <w:szCs w:val="32"/>
          <w:lang w:val="en-US" w:eastAsia="zh-CN"/>
        </w:rPr>
        <w:t>运营；优化调整了园区规划，控规面积从13.9平方公里拓至20平方公里；制定了《湖南九郎山职业教育科创城校企联合培养技能人才专项奖励办法（试行）》等系列办法，健全高技能人才选拔、培养、使用、激励、保障等全链条支持机制；在推动项目提速攻坚上取得了进展，</w:t>
      </w:r>
      <w:r>
        <w:rPr>
          <w:rFonts w:hint="default" w:ascii="仿宋_GB2312" w:hAnsi="Times New Roman" w:eastAsia="仿宋_GB2312" w:cs="Times New Roman"/>
          <w:sz w:val="32"/>
          <w:szCs w:val="32"/>
          <w:lang w:val="en-US" w:eastAsia="zh-CN"/>
        </w:rPr>
        <w:t>园区交通网络进一步完善</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lang w:val="zh-CN" w:eastAsia="zh-CN"/>
        </w:rPr>
        <w:t>园区功能进一步优化；产教融合不断深化，</w:t>
      </w:r>
      <w:r>
        <w:rPr>
          <w:rFonts w:hint="eastAsia" w:ascii="仿宋_GB2312" w:hAnsi="Times New Roman" w:eastAsia="仿宋_GB2312" w:cs="Times New Roman"/>
          <w:sz w:val="32"/>
          <w:szCs w:val="32"/>
          <w:lang w:val="en-US" w:eastAsia="zh-CN"/>
        </w:rPr>
        <w:t>整体科研实力及创新能力持续提升，产学研用一体化程度不断加深，服务“三高四新”战略和株洲市产业发展的能力显著增强。2022年职教园管理办联合湖南日报、株洲日报、株洲广电等省、市媒体围绕“湖南九郎山职教科创城提质升级”推出各类专题报道、短视频等，使“九郎山职教科创城”的名字快速传播，扩大知名度。</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3、年初</w:t>
      </w:r>
      <w:r>
        <w:rPr>
          <w:rFonts w:hint="eastAsia" w:ascii="仿宋_GB2312" w:hAnsi="Times New Roman" w:eastAsia="仿宋_GB2312" w:cs="Times New Roman"/>
          <w:sz w:val="32"/>
          <w:szCs w:val="32"/>
          <w:lang w:val="en-US" w:eastAsia="zh-CN"/>
        </w:rPr>
        <w:t>项目“</w:t>
      </w:r>
      <w:r>
        <w:rPr>
          <w:rFonts w:hint="eastAsia" w:ascii="仿宋_GB2312" w:eastAsia="仿宋_GB2312" w:cs="Times New Roman"/>
          <w:sz w:val="32"/>
          <w:szCs w:val="32"/>
          <w:lang w:val="en-US" w:eastAsia="zh-CN"/>
        </w:rPr>
        <w:t>产教融合工作经费</w:t>
      </w:r>
      <w:r>
        <w:rPr>
          <w:rFonts w:hint="eastAsia" w:ascii="仿宋_GB2312" w:hAnsi="Times New Roman" w:eastAsia="仿宋_GB2312" w:cs="Times New Roman"/>
          <w:sz w:val="32"/>
          <w:szCs w:val="32"/>
          <w:lang w:val="en-US" w:eastAsia="zh-CN"/>
        </w:rPr>
        <w:t>”，金额</w:t>
      </w:r>
      <w:r>
        <w:rPr>
          <w:rFonts w:hint="eastAsia" w:ascii="仿宋_GB2312" w:eastAsia="仿宋_GB2312" w:cs="Times New Roman"/>
          <w:sz w:val="32"/>
          <w:szCs w:val="32"/>
          <w:lang w:val="en-US" w:eastAsia="zh-CN"/>
        </w:rPr>
        <w:t>40</w:t>
      </w:r>
      <w:r>
        <w:rPr>
          <w:rFonts w:hint="eastAsia" w:ascii="仿宋_GB2312" w:hAnsi="Times New Roman" w:eastAsia="仿宋_GB2312" w:cs="Times New Roman"/>
          <w:sz w:val="32"/>
          <w:szCs w:val="32"/>
          <w:lang w:val="en-US" w:eastAsia="zh-CN"/>
        </w:rPr>
        <w:t>万元，实际支出</w:t>
      </w:r>
      <w:r>
        <w:rPr>
          <w:rFonts w:hint="eastAsia" w:ascii="仿宋_GB2312" w:eastAsia="仿宋_GB2312" w:cs="Times New Roman"/>
          <w:sz w:val="32"/>
          <w:szCs w:val="32"/>
          <w:lang w:val="en-US" w:eastAsia="zh-CN"/>
        </w:rPr>
        <w:t>40</w:t>
      </w:r>
      <w:r>
        <w:rPr>
          <w:rFonts w:hint="eastAsia" w:ascii="仿宋_GB2312" w:hAnsi="Times New Roman" w:eastAsia="仿宋_GB2312" w:cs="Times New Roman"/>
          <w:sz w:val="32"/>
          <w:szCs w:val="32"/>
          <w:lang w:val="en-US" w:eastAsia="zh-CN"/>
        </w:rPr>
        <w:t>万元，结余结转</w:t>
      </w:r>
      <w:r>
        <w:rPr>
          <w:rFonts w:hint="eastAsia" w:ascii="仿宋_GB2312" w:eastAsia="仿宋_GB2312" w:cs="Times New Roman"/>
          <w:sz w:val="32"/>
          <w:szCs w:val="32"/>
          <w:lang w:val="en-US" w:eastAsia="zh-CN"/>
        </w:rPr>
        <w:t>0</w:t>
      </w:r>
      <w:r>
        <w:rPr>
          <w:rFonts w:hint="eastAsia" w:ascii="仿宋_GB2312" w:hAnsi="Times New Roman" w:eastAsia="仿宋_GB2312" w:cs="Times New Roman"/>
          <w:sz w:val="32"/>
          <w:szCs w:val="32"/>
          <w:lang w:val="en-US" w:eastAsia="zh-CN"/>
        </w:rPr>
        <w:t>万元。该项目主要用于产教融合阵地设计、制作</w:t>
      </w:r>
      <w:r>
        <w:rPr>
          <w:rFonts w:hint="eastAsia" w:ascii="仿宋_GB2312" w:eastAsia="仿宋_GB2312" w:cs="Times New Roman"/>
          <w:sz w:val="32"/>
          <w:szCs w:val="32"/>
          <w:lang w:val="en-US" w:eastAsia="zh-CN"/>
        </w:rPr>
        <w:t>费用，以及单位劳务派遣人员工资社保经费支出。</w:t>
      </w:r>
      <w:r>
        <w:rPr>
          <w:rFonts w:hint="eastAsia" w:ascii="仿宋_GB2312" w:hAnsi="Times New Roman" w:eastAsia="仿宋_GB2312" w:cs="Times New Roman"/>
          <w:sz w:val="32"/>
          <w:szCs w:val="32"/>
          <w:lang w:val="en-US" w:eastAsia="zh-CN"/>
        </w:rPr>
        <w:t>项目实施及绩效情况如下：</w:t>
      </w:r>
      <w:r>
        <w:rPr>
          <w:rFonts w:hint="eastAsia" w:ascii="仿宋_GB2312" w:eastAsia="仿宋_GB2312" w:cs="Times New Roman"/>
          <w:sz w:val="32"/>
          <w:szCs w:val="32"/>
          <w:lang w:val="en-US" w:eastAsia="zh-CN"/>
        </w:rPr>
        <w:t>2022年职教园管理办</w:t>
      </w:r>
      <w:r>
        <w:rPr>
          <w:rFonts w:hint="eastAsia" w:ascii="仿宋_GB2312" w:hAnsi="Times New Roman" w:eastAsia="仿宋_GB2312" w:cs="Times New Roman"/>
          <w:sz w:val="32"/>
          <w:szCs w:val="32"/>
          <w:lang w:val="en-US" w:eastAsia="zh-CN"/>
        </w:rPr>
        <w:t>积极推进企业大师进校园，校园名师进企业，推进校企联合培养人才</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完成2021年度“双师”工作室考核与第四批双师工作室申报工作，评选优秀名师工作室15个、大师工作室10个</w:t>
      </w:r>
      <w:r>
        <w:rPr>
          <w:rFonts w:hint="eastAsia" w:ascii="仿宋_GB2312" w:eastAsia="仿宋_GB2312" w:cs="Times New Roman"/>
          <w:sz w:val="32"/>
          <w:szCs w:val="32"/>
          <w:lang w:val="en-US" w:eastAsia="zh-CN"/>
        </w:rPr>
        <w:t>；积极</w:t>
      </w:r>
      <w:r>
        <w:rPr>
          <w:rFonts w:hint="eastAsia" w:ascii="仿宋_GB2312" w:hAnsi="Times New Roman" w:eastAsia="仿宋_GB2312" w:cs="Times New Roman"/>
          <w:sz w:val="32"/>
          <w:szCs w:val="32"/>
          <w:lang w:val="en-US" w:eastAsia="zh-CN"/>
        </w:rPr>
        <w:t>贯彻落实教育部“职业院校建在园区，专业建在产业链上”的要求，结合我市产教融合以及产业链建设实际，出台《株洲市职业院校产业学院建设与管理办法》和《株洲市职业院校社区学院建设与管理办法》实施意见</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完成商业技师学院零售产业学院筹备工作、新增马鞍社区学院，截止目前共有产业学院9个、社区学院11个</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联合市工信局开展职教科创城与产业园区联动发展工作，理清科创布局和职教园功能关系，在产业园区布局科创产业制造基地，打造在全国有影响力有品牌的职教科创高地；组织湖南九郎山职教科创城、株洲北斗产业园校企对接活动，搭建北斗产业人才培养校企合作平台。</w:t>
      </w:r>
    </w:p>
    <w:p>
      <w:pPr>
        <w:pStyle w:val="7"/>
        <w:widowControl/>
        <w:spacing w:line="560" w:lineRule="exact"/>
        <w:ind w:firstLine="640"/>
        <w:jc w:val="left"/>
        <w:rPr>
          <w:rFonts w:ascii="Times New Roman" w:hAnsi="Times New Roman" w:eastAsia="黑体"/>
          <w:sz w:val="32"/>
          <w:szCs w:val="32"/>
        </w:rPr>
      </w:pPr>
      <w:r>
        <w:rPr>
          <w:rFonts w:ascii="Times New Roman" w:hAnsi="Times New Roman" w:eastAsia="黑体"/>
          <w:sz w:val="32"/>
          <w:szCs w:val="32"/>
        </w:rPr>
        <w:t>七、存在的问题及原因分析</w:t>
      </w:r>
    </w:p>
    <w:p>
      <w:pPr>
        <w:widowControl/>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eastAsia="zh-CN"/>
        </w:rPr>
        <w:t>预算编制科学性有待加强、</w:t>
      </w:r>
      <w:r>
        <w:rPr>
          <w:rFonts w:hint="eastAsia" w:eastAsia="仿宋_GB2312"/>
          <w:sz w:val="32"/>
          <w:szCs w:val="32"/>
        </w:rPr>
        <w:t>预算资金使用计划性有待加强</w:t>
      </w:r>
      <w:r>
        <w:rPr>
          <w:rFonts w:hint="eastAsia" w:eastAsia="仿宋_GB2312"/>
          <w:sz w:val="32"/>
          <w:szCs w:val="32"/>
          <w:lang w:eastAsia="zh-CN"/>
        </w:rPr>
        <w:t>。</w:t>
      </w:r>
    </w:p>
    <w:p>
      <w:pPr>
        <w:widowControl/>
        <w:numPr>
          <w:ilvl w:val="0"/>
          <w:numId w:val="3"/>
        </w:numPr>
        <w:spacing w:line="560" w:lineRule="exact"/>
        <w:ind w:firstLine="640" w:firstLineChars="200"/>
        <w:jc w:val="left"/>
        <w:rPr>
          <w:rFonts w:eastAsia="黑体"/>
          <w:sz w:val="32"/>
          <w:szCs w:val="32"/>
        </w:rPr>
      </w:pPr>
      <w:r>
        <w:rPr>
          <w:rFonts w:eastAsia="黑体"/>
          <w:sz w:val="32"/>
          <w:szCs w:val="32"/>
        </w:rPr>
        <w:t>下一步改进措施</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eastAsia="zh-CN"/>
        </w:rPr>
      </w:pPr>
      <w:r>
        <w:rPr>
          <w:rFonts w:hint="eastAsia" w:eastAsia="仿宋_GB2312"/>
          <w:sz w:val="32"/>
          <w:szCs w:val="32"/>
        </w:rPr>
        <w:t>完善用款计划管理，更科学合理的编制资金使用计划，进一步细化收支项目，按项目、按时间、按进度支出，提高资金的使用效益</w:t>
      </w:r>
      <w:r>
        <w:rPr>
          <w:rFonts w:hint="eastAsia"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sz w:val="32"/>
          <w:szCs w:val="32"/>
          <w:lang w:eastAsia="zh-CN"/>
        </w:rPr>
      </w:pPr>
      <w:r>
        <w:rPr>
          <w:rFonts w:hint="eastAsia" w:eastAsia="仿宋_GB2312"/>
          <w:sz w:val="32"/>
          <w:szCs w:val="32"/>
          <w:lang w:eastAsia="zh-CN"/>
        </w:rPr>
        <w:t>加强预算管理，不仅要结合年度需求与历史情况，还要结合单位实际需求与控制标准，科学合理的编制年度预算。</w:t>
      </w:r>
    </w:p>
    <w:p>
      <w:pPr>
        <w:widowControl/>
        <w:numPr>
          <w:ilvl w:val="0"/>
          <w:numId w:val="3"/>
        </w:numPr>
        <w:spacing w:line="560" w:lineRule="exact"/>
        <w:ind w:left="0" w:leftChars="0" w:firstLine="640" w:firstLineChars="200"/>
        <w:jc w:val="left"/>
        <w:rPr>
          <w:rFonts w:eastAsia="黑体"/>
          <w:sz w:val="32"/>
          <w:szCs w:val="32"/>
        </w:rPr>
      </w:pPr>
      <w:r>
        <w:rPr>
          <w:rFonts w:eastAsia="黑体"/>
          <w:sz w:val="32"/>
          <w:szCs w:val="32"/>
        </w:rPr>
        <w:t>部门整体支出绩效自评结果拟应用和公开情况</w:t>
      </w:r>
    </w:p>
    <w:p>
      <w:pPr>
        <w:widowControl/>
        <w:numPr>
          <w:ilvl w:val="0"/>
          <w:numId w:val="0"/>
        </w:numPr>
        <w:spacing w:line="560" w:lineRule="exact"/>
        <w:jc w:val="left"/>
        <w:rPr>
          <w:rFonts w:hint="eastAsia" w:ascii="Times New Roman" w:hAnsi="Times New Roman" w:eastAsia="仿宋_GB2312" w:cs="Times New Roman"/>
          <w:sz w:val="32"/>
          <w:szCs w:val="32"/>
          <w:lang w:val="en-US" w:eastAsia="zh-CN"/>
        </w:rPr>
      </w:pPr>
      <w:r>
        <w:rPr>
          <w:rFonts w:hint="eastAsia" w:eastAsia="黑体"/>
          <w:sz w:val="32"/>
          <w:szCs w:val="32"/>
          <w:lang w:val="en-US" w:eastAsia="zh-CN"/>
        </w:rPr>
        <w:t xml:space="preserve">    1、</w:t>
      </w:r>
      <w:r>
        <w:rPr>
          <w:rFonts w:hint="eastAsia" w:ascii="Times New Roman" w:hAnsi="Times New Roman" w:eastAsia="仿宋_GB2312" w:cs="Times New Roman"/>
          <w:sz w:val="32"/>
          <w:szCs w:val="32"/>
          <w:lang w:val="en-US" w:eastAsia="zh-CN"/>
        </w:rPr>
        <w:t>深化预算管理制度，对预算的编制、执行要做到精细化管理。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2、增强资金绩效观念，加强资金使用效率。要重视绩效评价结果的应用工作，充分发挥绩效评价以评促管效能，努力提高绩效意识和财政资金使用效益。</w:t>
      </w:r>
    </w:p>
    <w:p>
      <w:pPr>
        <w:widowControl/>
        <w:numPr>
          <w:ilvl w:val="0"/>
          <w:numId w:val="0"/>
        </w:numPr>
        <w:spacing w:line="560" w:lineRule="exact"/>
        <w:jc w:val="left"/>
        <w:rPr>
          <w:rFonts w:hint="default" w:eastAsia="黑体"/>
          <w:sz w:val="32"/>
          <w:szCs w:val="32"/>
          <w:lang w:val="en-US" w:eastAsia="zh-CN"/>
        </w:rPr>
      </w:pPr>
      <w:r>
        <w:rPr>
          <w:rFonts w:hint="eastAsia" w:ascii="Times New Roman" w:hAnsi="Times New Roman" w:eastAsia="仿宋_GB2312" w:cs="Times New Roman"/>
          <w:sz w:val="32"/>
          <w:szCs w:val="32"/>
          <w:lang w:val="en-US" w:eastAsia="zh-CN"/>
        </w:rPr>
        <w:t>　　3、重视评价结果，提高预算管理水平。利用绩效评价结果，促进单位增强责任和效益观念，对绩效评价结果中存在的问题，督促落实整改措施，及时调整工作计划、绩效目标，加强项目财务管理，提高资金使用效益；通过绩效评价结果了解资金的配置是否合理，是否发挥了应有的作用，支出规模是否适当，总结经验和教训，进一步改进工作，提高财政资源的配置效率。</w:t>
      </w:r>
    </w:p>
    <w:p>
      <w:pPr>
        <w:widowControl/>
        <w:spacing w:line="560" w:lineRule="exact"/>
        <w:ind w:firstLine="645"/>
        <w:jc w:val="left"/>
        <w:rPr>
          <w:rFonts w:eastAsia="黑体"/>
          <w:sz w:val="32"/>
          <w:szCs w:val="32"/>
        </w:rPr>
      </w:pPr>
      <w:r>
        <w:rPr>
          <w:rFonts w:hint="eastAsia" w:eastAsia="黑体"/>
          <w:sz w:val="32"/>
          <w:szCs w:val="32"/>
          <w:lang w:eastAsia="zh-CN"/>
        </w:rPr>
        <w:t>十、</w:t>
      </w:r>
      <w:r>
        <w:rPr>
          <w:rFonts w:eastAsia="黑体"/>
          <w:sz w:val="32"/>
          <w:szCs w:val="32"/>
        </w:rPr>
        <w:t>其他需要说明的情况</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单位资金支出严格按照国家财政法规和规定及省市财务制度的要求，单位内控制度比较健全，涵盖了预算、收支、政府采购、资产等内部控制管理要求，明确了相应原则和要求、开支范围、程序、办法及标准、审批权限、风险评估和控制方法等操作流程。</w:t>
      </w:r>
    </w:p>
    <w:p>
      <w:pPr>
        <w:keepNext w:val="0"/>
        <w:keepLines w:val="0"/>
        <w:pageBreakBefore w:val="0"/>
        <w:widowControl w:val="0"/>
        <w:tabs>
          <w:tab w:val="left" w:pos="756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Times New Roman" w:eastAsia="仿宋_GB2312" w:cs="Times New Roman"/>
          <w:sz w:val="32"/>
          <w:szCs w:val="32"/>
          <w:lang w:val="en-US" w:eastAsia="zh-CN"/>
        </w:rPr>
      </w:pPr>
    </w:p>
    <w:p>
      <w:pPr>
        <w:widowControl/>
        <w:spacing w:line="560" w:lineRule="exact"/>
        <w:ind w:firstLine="645"/>
        <w:jc w:val="left"/>
        <w:rPr>
          <w:rFonts w:hint="eastAsia" w:ascii="仿宋_GB2312" w:eastAsia="仿宋_GB2312"/>
          <w:sz w:val="32"/>
          <w:szCs w:val="32"/>
        </w:rPr>
      </w:pPr>
      <w:r>
        <w:rPr>
          <w:rFonts w:hint="eastAsia" w:ascii="仿宋_GB2312" w:eastAsia="仿宋_GB2312"/>
          <w:sz w:val="32"/>
          <w:szCs w:val="32"/>
        </w:rPr>
        <w:t>附件：1-1.</w:t>
      </w:r>
      <w:r>
        <w:rPr>
          <w:rFonts w:hint="eastAsia"/>
        </w:rPr>
        <w:t xml:space="preserve"> </w:t>
      </w:r>
      <w:r>
        <w:rPr>
          <w:rFonts w:hint="eastAsia" w:ascii="仿宋_GB2312" w:eastAsia="仿宋_GB2312"/>
          <w:sz w:val="32"/>
          <w:szCs w:val="32"/>
        </w:rPr>
        <w:t>2022年度部门整体支出绩效评价基础数据表</w:t>
      </w:r>
    </w:p>
    <w:p>
      <w:pPr>
        <w:widowControl/>
        <w:spacing w:line="560" w:lineRule="exact"/>
        <w:ind w:firstLine="1600" w:firstLineChars="500"/>
        <w:jc w:val="left"/>
        <w:rPr>
          <w:rFonts w:hint="eastAsia" w:ascii="仿宋_GB2312" w:eastAsia="仿宋_GB2312"/>
          <w:sz w:val="32"/>
          <w:szCs w:val="32"/>
        </w:rPr>
      </w:pPr>
      <w:r>
        <w:rPr>
          <w:rFonts w:hint="eastAsia" w:ascii="仿宋_GB2312" w:eastAsia="仿宋_GB2312"/>
          <w:sz w:val="32"/>
          <w:szCs w:val="32"/>
        </w:rPr>
        <w:t>1-2.</w:t>
      </w:r>
      <w:r>
        <w:rPr>
          <w:rFonts w:hint="eastAsia"/>
        </w:rPr>
        <w:t xml:space="preserve"> </w:t>
      </w:r>
      <w:r>
        <w:rPr>
          <w:rFonts w:hint="eastAsia" w:ascii="仿宋_GB2312" w:eastAsia="仿宋_GB2312"/>
          <w:sz w:val="32"/>
          <w:szCs w:val="32"/>
        </w:rPr>
        <w:t>2022年度部门整体支出绩效自评表</w:t>
      </w: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r>
        <w:rPr>
          <w:rFonts w:hint="eastAsia" w:ascii="仿宋_GB2312" w:eastAsia="仿宋_GB2312"/>
          <w:sz w:val="32"/>
          <w:szCs w:val="32"/>
        </w:rPr>
        <w:t>1-3.</w:t>
      </w:r>
      <w:r>
        <w:rPr>
          <w:rFonts w:hint="eastAsia"/>
        </w:rPr>
        <w:t xml:space="preserve"> </w:t>
      </w:r>
      <w:r>
        <w:rPr>
          <w:rFonts w:hint="eastAsia" w:ascii="仿宋_GB2312" w:eastAsia="仿宋_GB2312"/>
          <w:sz w:val="32"/>
          <w:szCs w:val="32"/>
        </w:rPr>
        <w:t>2022年度项目支出绩效自评表</w:t>
      </w: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tabs>
          <w:tab w:val="left" w:pos="7560"/>
        </w:tabs>
        <w:adjustRightInd w:val="0"/>
        <w:snapToGrid w:val="0"/>
        <w:spacing w:line="560" w:lineRule="exact"/>
        <w:ind w:left="2236" w:leftChars="760" w:hanging="640" w:hangingChars="200"/>
        <w:jc w:val="left"/>
        <w:rPr>
          <w:rFonts w:hint="eastAsia" w:ascii="仿宋_GB2312" w:eastAsia="仿宋_GB2312"/>
          <w:sz w:val="32"/>
          <w:szCs w:val="32"/>
        </w:rPr>
      </w:pPr>
    </w:p>
    <w:p>
      <w:pPr>
        <w:spacing w:after="120" w:afterLines="50" w:line="60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1-1</w:t>
      </w:r>
    </w:p>
    <w:p>
      <w:pPr>
        <w:spacing w:after="120" w:afterLines="50" w:line="600" w:lineRule="exact"/>
        <w:jc w:val="center"/>
        <w:rPr>
          <w:rFonts w:hint="eastAsia" w:ascii="方正大标宋简体" w:eastAsia="方正大标宋简体"/>
          <w:sz w:val="24"/>
        </w:rPr>
      </w:pPr>
      <w:r>
        <w:rPr>
          <w:rFonts w:hint="eastAsia" w:ascii="方正大标宋简体" w:eastAsia="方正大标宋简体"/>
          <w:sz w:val="36"/>
          <w:szCs w:val="36"/>
        </w:rPr>
        <w:t>2022年度部门整体支出绩效评价基础数据表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2022年实际在职人数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控制率</w:t>
            </w:r>
          </w:p>
        </w:tc>
      </w:tr>
      <w:tr>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16</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15</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93.75%</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2021年决算数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2022年预算数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2022年决算数</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8.05</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2.96</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2.4</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2.4</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0.05</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0.5</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0.55</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40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0</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3、市级专项资金（一个专项一行）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trHeight w:val="31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职业发展教育专项经费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19.94</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教育经费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161.01</w:t>
            </w:r>
            <w:r>
              <w:rPr>
                <w:rFonts w:hint="eastAsia" w:ascii="仿宋_GB2312" w:hAnsi="仿宋_GB2312" w:eastAsia="仿宋_GB2312" w:cs="仿宋_GB2312"/>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115.51</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101.6</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49.36</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43.03</w:t>
            </w:r>
            <w:r>
              <w:rPr>
                <w:rFonts w:hint="eastAsia" w:ascii="仿宋_GB2312" w:hAnsi="仿宋_GB2312" w:eastAsia="仿宋_GB2312" w:cs="仿宋_GB2312"/>
                <w:color w:val="auto"/>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rPr>
              <w:t>45.28</w:t>
            </w:r>
            <w:r>
              <w:rPr>
                <w:rFonts w:hint="eastAsia" w:ascii="仿宋_GB2312" w:hAnsi="仿宋_GB2312" w:eastAsia="仿宋_GB2312" w:cs="仿宋_GB2312"/>
                <w:color w:val="auto"/>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7.02</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7.4</w:t>
            </w:r>
            <w:r>
              <w:rPr>
                <w:rFonts w:hint="eastAsia" w:ascii="仿宋_GB2312" w:hAnsi="仿宋_GB2312" w:eastAsia="仿宋_GB2312" w:cs="仿宋_GB2312"/>
                <w:color w:val="auto"/>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rPr>
              <w:t>7.38</w:t>
            </w:r>
            <w:r>
              <w:rPr>
                <w:rFonts w:hint="eastAsia" w:ascii="仿宋_GB2312" w:hAnsi="仿宋_GB2312" w:eastAsia="仿宋_GB2312" w:cs="仿宋_GB2312"/>
                <w:color w:val="auto"/>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4.6</w:t>
            </w:r>
            <w:r>
              <w:rPr>
                <w:rFonts w:hint="eastAsia" w:ascii="仿宋_GB2312" w:hAnsi="仿宋_GB2312" w:eastAsia="仿宋_GB2312" w:cs="仿宋_GB2312"/>
                <w:color w:val="auto"/>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rPr>
              <w:t>1.3</w:t>
            </w:r>
            <w:r>
              <w:rPr>
                <w:rFonts w:hint="eastAsia" w:ascii="仿宋_GB2312" w:hAnsi="仿宋_GB2312" w:eastAsia="仿宋_GB2312" w:cs="仿宋_GB2312"/>
                <w:color w:val="auto"/>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83.6</w:t>
            </w: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rPr>
              <w:t>65.2</w:t>
            </w: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r>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楼堂馆所控制情况</w:t>
            </w:r>
          </w:p>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批复规模</w:t>
            </w:r>
          </w:p>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投资概算控制率</w:t>
            </w:r>
          </w:p>
        </w:tc>
      </w:tr>
      <w:tr>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ind w:firstLine="210" w:firstLineChars="1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w:t>
            </w:r>
            <w:r>
              <w:rPr>
                <w:rFonts w:hint="eastAsia" w:ascii="仿宋_GB2312" w:hAnsi="仿宋_GB2312" w:eastAsia="仿宋_GB2312" w:cs="仿宋_GB2312"/>
                <w:sz w:val="21"/>
                <w:szCs w:val="21"/>
                <w:lang w:val="en-US" w:eastAsia="zh-CN"/>
              </w:rPr>
              <w:t xml:space="preserve"> 0</w:t>
            </w:r>
          </w:p>
        </w:tc>
      </w:tr>
      <w:tr>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r>
    </w:tbl>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说明：“项目支出”需要填报基本支出以外的所有项目支出情况，“公用经费”填报基本支出中的一般商品和服务支出。</w:t>
      </w:r>
    </w:p>
    <w:p>
      <w:pPr>
        <w:tabs>
          <w:tab w:val="left" w:pos="7560"/>
        </w:tabs>
        <w:adjustRightInd w:val="0"/>
        <w:snapToGrid w:val="0"/>
        <w:spacing w:line="560" w:lineRule="exact"/>
      </w:pPr>
      <w:r>
        <w:rPr>
          <w:rFonts w:hint="eastAsia" w:ascii="仿宋_GB2312" w:hAnsi="仿宋_GB2312" w:eastAsia="仿宋_GB2312" w:cs="仿宋_GB2312"/>
          <w:sz w:val="21"/>
          <w:szCs w:val="21"/>
        </w:rPr>
        <w:t xml:space="preserve">填表人： </w:t>
      </w:r>
      <w:r>
        <w:rPr>
          <w:rFonts w:hint="default" w:ascii="仿宋_GB2312" w:hAnsi="仿宋_GB2312" w:eastAsia="仿宋_GB2312" w:cs="仿宋_GB2312"/>
          <w:sz w:val="21"/>
          <w:szCs w:val="21"/>
          <w:lang w:val="en-US"/>
        </w:rPr>
        <w:t xml:space="preserve">  </w:t>
      </w:r>
      <w:r>
        <w:rPr>
          <w:rFonts w:hint="eastAsia" w:ascii="仿宋_GB2312" w:hAnsi="仿宋_GB2312" w:eastAsia="仿宋_GB2312" w:cs="仿宋_GB2312"/>
          <w:sz w:val="21"/>
          <w:szCs w:val="21"/>
        </w:rPr>
        <w:t xml:space="preserve"> 填报日期：</w:t>
      </w:r>
      <w:r>
        <w:rPr>
          <w:rFonts w:hint="default" w:ascii="仿宋_GB2312" w:hAnsi="仿宋_GB2312" w:eastAsia="仿宋_GB2312" w:cs="仿宋_GB2312"/>
          <w:sz w:val="21"/>
          <w:szCs w:val="21"/>
          <w:lang w:val="en-US"/>
        </w:rPr>
        <w:t xml:space="preserve">   </w:t>
      </w:r>
      <w:r>
        <w:rPr>
          <w:rFonts w:hint="eastAsia" w:ascii="仿宋_GB2312" w:hAnsi="仿宋_GB2312" w:eastAsia="仿宋_GB2312" w:cs="仿宋_GB2312"/>
          <w:sz w:val="21"/>
          <w:szCs w:val="21"/>
        </w:rPr>
        <w:t xml:space="preserve">  联系电话：</w:t>
      </w:r>
      <w:r>
        <w:rPr>
          <w:rFonts w:hint="default" w:ascii="仿宋_GB2312" w:hAnsi="仿宋_GB2312" w:eastAsia="仿宋_GB2312" w:cs="仿宋_GB2312"/>
          <w:sz w:val="21"/>
          <w:szCs w:val="21"/>
          <w:lang w:val="en-US"/>
        </w:rPr>
        <w:t xml:space="preserve">      </w:t>
      </w:r>
      <w:r>
        <w:rPr>
          <w:rFonts w:hint="eastAsia" w:ascii="仿宋_GB2312" w:hAnsi="仿宋_GB2312" w:eastAsia="仿宋_GB2312" w:cs="仿宋_GB2312"/>
          <w:sz w:val="21"/>
          <w:szCs w:val="21"/>
        </w:rPr>
        <w:t>单位负责人签字：</w:t>
      </w:r>
    </w:p>
    <w:p/>
    <w:p>
      <w:pPr>
        <w:widowControl/>
        <w:spacing w:line="40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1-2</w:t>
      </w:r>
    </w:p>
    <w:p>
      <w:pPr>
        <w:widowControl/>
        <w:spacing w:after="120" w:afterLines="50"/>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2022年度部门整体支出绩效自评表</w:t>
      </w:r>
    </w:p>
    <w:tbl>
      <w:tblPr>
        <w:tblStyle w:val="4"/>
        <w:tblW w:w="10422" w:type="dxa"/>
        <w:jc w:val="center"/>
        <w:tblLayout w:type="fixed"/>
        <w:tblCellMar>
          <w:top w:w="0" w:type="dxa"/>
          <w:left w:w="108" w:type="dxa"/>
          <w:bottom w:w="0" w:type="dxa"/>
          <w:right w:w="108" w:type="dxa"/>
        </w:tblCellMar>
      </w:tblPr>
      <w:tblGrid>
        <w:gridCol w:w="1065"/>
        <w:gridCol w:w="1065"/>
        <w:gridCol w:w="1012"/>
        <w:gridCol w:w="1429"/>
        <w:gridCol w:w="1513"/>
        <w:gridCol w:w="1321"/>
        <w:gridCol w:w="688"/>
        <w:gridCol w:w="962"/>
        <w:gridCol w:w="1367"/>
      </w:tblGrid>
      <w:tr>
        <w:tblPrEx>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市级预算部门名称</w:t>
            </w:r>
          </w:p>
        </w:tc>
        <w:tc>
          <w:tcPr>
            <w:tcW w:w="935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株洲职业教育科技园管理办公室</w:t>
            </w: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65"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年度预</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算申请</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207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p>
        </w:tc>
        <w:tc>
          <w:tcPr>
            <w:tcW w:w="142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年初预算数</w:t>
            </w:r>
          </w:p>
        </w:tc>
        <w:tc>
          <w:tcPr>
            <w:tcW w:w="151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全年预算数</w:t>
            </w:r>
          </w:p>
        </w:tc>
        <w:tc>
          <w:tcPr>
            <w:tcW w:w="132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全年执行数</w:t>
            </w:r>
          </w:p>
        </w:tc>
        <w:tc>
          <w:tcPr>
            <w:tcW w:w="68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96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执行率</w:t>
            </w:r>
          </w:p>
        </w:tc>
        <w:tc>
          <w:tcPr>
            <w:tcW w:w="136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tblPrEx>
          <w:tblCellMar>
            <w:top w:w="0" w:type="dxa"/>
            <w:left w:w="108" w:type="dxa"/>
            <w:bottom w:w="0" w:type="dxa"/>
            <w:right w:w="108" w:type="dxa"/>
          </w:tblCellMar>
        </w:tblPrEx>
        <w:trPr>
          <w:trHeight w:val="487" w:hRule="atLeast"/>
          <w:jc w:val="center"/>
        </w:trPr>
        <w:tc>
          <w:tcPr>
            <w:tcW w:w="1065"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207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年度资金总额</w:t>
            </w:r>
          </w:p>
        </w:tc>
        <w:tc>
          <w:tcPr>
            <w:tcW w:w="142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390.64</w:t>
            </w:r>
          </w:p>
        </w:tc>
        <w:tc>
          <w:tcPr>
            <w:tcW w:w="151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521.41</w:t>
            </w:r>
          </w:p>
        </w:tc>
        <w:tc>
          <w:tcPr>
            <w:tcW w:w="132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503.04</w:t>
            </w:r>
          </w:p>
        </w:tc>
        <w:tc>
          <w:tcPr>
            <w:tcW w:w="68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96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96.48%</w:t>
            </w:r>
          </w:p>
        </w:tc>
        <w:tc>
          <w:tcPr>
            <w:tcW w:w="136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9.6</w:t>
            </w:r>
          </w:p>
        </w:tc>
      </w:tr>
      <w:tr>
        <w:tblPrEx>
          <w:tblCellMar>
            <w:top w:w="0" w:type="dxa"/>
            <w:left w:w="108" w:type="dxa"/>
            <w:bottom w:w="0" w:type="dxa"/>
            <w:right w:w="108" w:type="dxa"/>
          </w:tblCellMar>
        </w:tblPrEx>
        <w:trPr>
          <w:trHeight w:val="437" w:hRule="atLeast"/>
          <w:jc w:val="center"/>
        </w:trPr>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按收入性质分：</w:t>
            </w:r>
          </w:p>
        </w:tc>
        <w:tc>
          <w:tcPr>
            <w:tcW w:w="43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按支出性质分：</w:t>
            </w:r>
          </w:p>
        </w:tc>
      </w:tr>
      <w:tr>
        <w:tblPrEx>
          <w:tblCellMar>
            <w:top w:w="0" w:type="dxa"/>
            <w:left w:w="108" w:type="dxa"/>
            <w:bottom w:w="0" w:type="dxa"/>
            <w:right w:w="108" w:type="dxa"/>
          </w:tblCellMar>
        </w:tblPrEx>
        <w:trPr>
          <w:trHeight w:val="500" w:hRule="atLeast"/>
          <w:jc w:val="center"/>
        </w:trPr>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  其中：  一般公共预算：</w:t>
            </w:r>
            <w:r>
              <w:rPr>
                <w:rFonts w:hint="eastAsia" w:ascii="仿宋_GB2312" w:hAnsi="仿宋_GB2312" w:eastAsia="仿宋_GB2312" w:cs="仿宋_GB2312"/>
                <w:color w:val="000000"/>
                <w:sz w:val="24"/>
                <w:szCs w:val="24"/>
                <w:lang w:val="en-US" w:eastAsia="zh-CN"/>
              </w:rPr>
              <w:t>503.04</w:t>
            </w:r>
          </w:p>
        </w:tc>
        <w:tc>
          <w:tcPr>
            <w:tcW w:w="43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其中：基本支出：</w:t>
            </w:r>
            <w:r>
              <w:rPr>
                <w:rFonts w:hint="eastAsia" w:ascii="仿宋_GB2312" w:hAnsi="仿宋_GB2312" w:eastAsia="仿宋_GB2312" w:cs="仿宋_GB2312"/>
                <w:color w:val="000000"/>
                <w:sz w:val="24"/>
                <w:szCs w:val="24"/>
                <w:lang w:val="en-US" w:eastAsia="zh-CN"/>
              </w:rPr>
              <w:t>423.1</w:t>
            </w:r>
          </w:p>
        </w:tc>
      </w:tr>
      <w:tr>
        <w:tblPrEx>
          <w:tblCellMar>
            <w:top w:w="0" w:type="dxa"/>
            <w:left w:w="108" w:type="dxa"/>
            <w:bottom w:w="0" w:type="dxa"/>
            <w:right w:w="108" w:type="dxa"/>
          </w:tblCellMar>
        </w:tblPrEx>
        <w:trPr>
          <w:trHeight w:val="450" w:hRule="atLeast"/>
          <w:jc w:val="center"/>
        </w:trPr>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nil"/>
              <w:left w:val="nil"/>
              <w:bottom w:val="single" w:color="auto" w:sz="4" w:space="0"/>
              <w:right w:val="single" w:color="auto" w:sz="4" w:space="0"/>
            </w:tcBorders>
            <w:noWrap w:val="0"/>
            <w:vAlign w:val="center"/>
          </w:tcPr>
          <w:p>
            <w:pPr>
              <w:widowControl/>
              <w:spacing w:line="240" w:lineRule="exact"/>
              <w:ind w:firstLine="960" w:firstLineChars="4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政府性基金拨款：</w:t>
            </w:r>
            <w:r>
              <w:rPr>
                <w:rFonts w:hint="eastAsia" w:ascii="仿宋_GB2312" w:hAnsi="仿宋_GB2312" w:eastAsia="仿宋_GB2312" w:cs="仿宋_GB2312"/>
                <w:color w:val="000000"/>
                <w:sz w:val="24"/>
                <w:szCs w:val="24"/>
                <w:lang w:val="en-US" w:eastAsia="zh-CN"/>
              </w:rPr>
              <w:t>0</w:t>
            </w:r>
          </w:p>
        </w:tc>
        <w:tc>
          <w:tcPr>
            <w:tcW w:w="4338" w:type="dxa"/>
            <w:gridSpan w:val="4"/>
            <w:tcBorders>
              <w:top w:val="nil"/>
              <w:left w:val="nil"/>
              <w:bottom w:val="single" w:color="auto" w:sz="4" w:space="0"/>
              <w:right w:val="single" w:color="auto" w:sz="4" w:space="0"/>
            </w:tcBorders>
            <w:noWrap w:val="0"/>
            <w:vAlign w:val="center"/>
          </w:tcPr>
          <w:p>
            <w:pPr>
              <w:widowControl/>
              <w:spacing w:line="240" w:lineRule="exact"/>
              <w:ind w:firstLine="720" w:firstLineChars="3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项目支出：</w:t>
            </w:r>
            <w:r>
              <w:rPr>
                <w:rFonts w:hint="eastAsia" w:ascii="仿宋_GB2312" w:hAnsi="仿宋_GB2312" w:eastAsia="仿宋_GB2312" w:cs="仿宋_GB2312"/>
                <w:color w:val="000000"/>
                <w:sz w:val="24"/>
                <w:szCs w:val="24"/>
                <w:lang w:val="en-US" w:eastAsia="zh-CN"/>
              </w:rPr>
              <w:t>79.94</w:t>
            </w:r>
          </w:p>
        </w:tc>
      </w:tr>
      <w:tr>
        <w:tblPrEx>
          <w:tblCellMar>
            <w:top w:w="0" w:type="dxa"/>
            <w:left w:w="108" w:type="dxa"/>
            <w:bottom w:w="0" w:type="dxa"/>
            <w:right w:w="108" w:type="dxa"/>
          </w:tblCellMar>
        </w:tblPrEx>
        <w:trPr>
          <w:trHeight w:val="500" w:hRule="atLeast"/>
          <w:jc w:val="center"/>
        </w:trPr>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纳入专户管理的非税收入拨款：</w:t>
            </w:r>
            <w:r>
              <w:rPr>
                <w:rFonts w:hint="eastAsia" w:ascii="仿宋_GB2312" w:hAnsi="仿宋_GB2312" w:eastAsia="仿宋_GB2312" w:cs="仿宋_GB2312"/>
                <w:color w:val="000000"/>
                <w:sz w:val="24"/>
                <w:szCs w:val="24"/>
                <w:lang w:val="en-US" w:eastAsia="zh-CN"/>
              </w:rPr>
              <w:t>0</w:t>
            </w:r>
          </w:p>
        </w:tc>
        <w:tc>
          <w:tcPr>
            <w:tcW w:w="43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465" w:hRule="atLeast"/>
          <w:jc w:val="center"/>
        </w:trPr>
        <w:tc>
          <w:tcPr>
            <w:tcW w:w="1065"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nil"/>
              <w:left w:val="nil"/>
              <w:bottom w:val="single" w:color="auto" w:sz="4" w:space="0"/>
              <w:right w:val="single" w:color="auto" w:sz="4" w:space="0"/>
            </w:tcBorders>
            <w:noWrap w:val="0"/>
            <w:vAlign w:val="center"/>
          </w:tcPr>
          <w:p>
            <w:pPr>
              <w:widowControl/>
              <w:spacing w:line="240" w:lineRule="exact"/>
              <w:ind w:firstLine="1680" w:firstLineChars="700"/>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其他资金：</w:t>
            </w:r>
            <w:r>
              <w:rPr>
                <w:rFonts w:hint="eastAsia" w:ascii="仿宋_GB2312" w:hAnsi="仿宋_GB2312" w:eastAsia="仿宋_GB2312" w:cs="仿宋_GB2312"/>
                <w:color w:val="000000"/>
                <w:sz w:val="24"/>
                <w:szCs w:val="24"/>
                <w:lang w:val="en-US" w:eastAsia="zh-CN"/>
              </w:rPr>
              <w:t>0</w:t>
            </w:r>
          </w:p>
        </w:tc>
        <w:tc>
          <w:tcPr>
            <w:tcW w:w="43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5" w:hRule="atLeast"/>
          <w:jc w:val="center"/>
        </w:trPr>
        <w:tc>
          <w:tcPr>
            <w:tcW w:w="1065"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年度总体目标</w:t>
            </w:r>
          </w:p>
        </w:tc>
        <w:tc>
          <w:tcPr>
            <w:tcW w:w="5019"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338"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实际完成情况　</w:t>
            </w:r>
          </w:p>
        </w:tc>
      </w:tr>
      <w:tr>
        <w:tblPrEx>
          <w:tblCellMar>
            <w:top w:w="0" w:type="dxa"/>
            <w:left w:w="108" w:type="dxa"/>
            <w:bottom w:w="0" w:type="dxa"/>
            <w:right w:w="108" w:type="dxa"/>
          </w:tblCellMar>
        </w:tblPrEx>
        <w:trPr>
          <w:jc w:val="center"/>
        </w:trPr>
        <w:tc>
          <w:tcPr>
            <w:tcW w:w="1065"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501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深入推进职教园“匠心党建”品牌创建活动，积极打造株洲动力党建特色子品牌；2、丰富园区办学层次，推进院校升级升格。3、对标“打造全国一流职教高地”目标，优化职教园规划设计，完善公共配套建设，逐步拉通路网，解决院校用地。4、助力我市国家产教融合试点建设，高质量建设双师工作室、产业学院、职教集团和职教讲师团。5、持续建设平安院校，做好常态化疫情防控工作和园区社会事务工作，打造健康和谐的平安园区。</w:t>
            </w:r>
            <w:r>
              <w:rPr>
                <w:rFonts w:hint="eastAsia" w:ascii="仿宋_GB2312" w:hAnsi="仿宋_GB2312" w:eastAsia="仿宋_GB2312" w:cs="仿宋_GB2312"/>
                <w:color w:val="000000"/>
                <w:sz w:val="24"/>
                <w:szCs w:val="24"/>
              </w:rPr>
              <w:t>　　</w:t>
            </w:r>
          </w:p>
        </w:tc>
        <w:tc>
          <w:tcPr>
            <w:tcW w:w="433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2022年管理办全面落实从严治党要求，在思想上、能力上、作风上不断提升，</w:t>
            </w:r>
            <w:r>
              <w:rPr>
                <w:rFonts w:hint="eastAsia" w:ascii="仿宋_GB2312" w:hAnsi="仿宋_GB2312" w:eastAsia="仿宋_GB2312" w:cs="仿宋_GB2312"/>
                <w:color w:val="000000"/>
                <w:sz w:val="24"/>
                <w:szCs w:val="24"/>
              </w:rPr>
              <w:t>开展“匠心讲堂”、“看学评议”、“党的二十大”微宣讲等多项活动，</w:t>
            </w:r>
            <w:r>
              <w:rPr>
                <w:rFonts w:hint="eastAsia" w:ascii="仿宋_GB2312" w:hAnsi="仿宋_GB2312" w:eastAsia="仿宋_GB2312" w:cs="仿宋_GB2312"/>
                <w:color w:val="000000"/>
                <w:sz w:val="24"/>
                <w:szCs w:val="24"/>
                <w:lang w:eastAsia="zh-CN"/>
              </w:rPr>
              <w:t>打响</w:t>
            </w:r>
            <w:r>
              <w:rPr>
                <w:rFonts w:hint="eastAsia" w:ascii="仿宋_GB2312" w:hAnsi="仿宋_GB2312" w:eastAsia="仿宋_GB2312" w:cs="仿宋_GB2312"/>
                <w:color w:val="000000"/>
                <w:sz w:val="24"/>
                <w:szCs w:val="24"/>
              </w:rPr>
              <w:t>“匠心党建”品牌</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实现园区党建工作与业务工作同频共振、互促共进，更好支持和推动职业教育发展</w:t>
            </w:r>
            <w:r>
              <w:rPr>
                <w:rFonts w:hint="eastAsia" w:ascii="仿宋_GB2312" w:hAnsi="仿宋_GB2312" w:eastAsia="仿宋_GB2312" w:cs="仿宋_GB2312"/>
                <w:color w:val="000000"/>
                <w:sz w:val="24"/>
                <w:szCs w:val="24"/>
                <w:lang w:eastAsia="zh-CN"/>
              </w:rPr>
              <w:t>；成立了以市委书记任第一主任的市级工作专班和厅市共建共管的联合工作专班，形成了齐抓共管的协调工作机制；出台了《湖南九郎山职教科创城提质升级五年行动方案》；成立九郎山职教科创城发展集团有限公司，专注片区开发运营；牵头做好《湖南职业教育科创城控制性详细规划》的编制审批工作，对职教城用地进行调规扩容，实现职教城与周边功能区域空间贯通，同时新增职业教育院校用地1204亩，并预留816亩新增院校用地，满足院校升级升格及未来发展用地需求；铁道职院、铁科职院合并转设为职业本科工作有序推进，汽车职院、化工职院、中医高专已纳入教育部“十四五”升本规划，南方航校正式并入工贸技师学院，拟建设航空类高职院校；积极推进企业大师进校园，校园名师进企业，推进校企联合培养人才，评选优秀名师工作室15个、大师工作室10个；完成商业技师学院零售产业学院筹备工作、新增马鞍社区学院，新增</w:t>
            </w:r>
            <w:r>
              <w:rPr>
                <w:rFonts w:hint="eastAsia" w:ascii="仿宋_GB2312" w:hAnsi="仿宋_GB2312" w:eastAsia="仿宋_GB2312" w:cs="仿宋_GB2312"/>
                <w:color w:val="000000"/>
                <w:sz w:val="24"/>
                <w:szCs w:val="24"/>
                <w:lang w:val="en-US" w:eastAsia="zh-CN"/>
              </w:rPr>
              <w:t>6所产业学院，</w:t>
            </w:r>
            <w:r>
              <w:rPr>
                <w:rFonts w:hint="eastAsia" w:ascii="仿宋_GB2312" w:hAnsi="仿宋_GB2312" w:eastAsia="仿宋_GB2312" w:cs="仿宋_GB2312"/>
                <w:color w:val="000000"/>
                <w:sz w:val="24"/>
                <w:szCs w:val="24"/>
                <w:lang w:eastAsia="zh-CN"/>
              </w:rPr>
              <w:t>截止目前共有产业学院9个、社区学院11个；以“五联”为基，做好了园区疫情防控，综治维稳、安全生产、禁毒、普法防诈等工作，保障园区和谐稳定。管理办荣获2021-2022年度株洲市“禁毒宣传教育工作先进单位”。</w:t>
            </w:r>
          </w:p>
        </w:tc>
      </w:tr>
      <w:tr>
        <w:tblPrEx>
          <w:tblCellMar>
            <w:top w:w="0" w:type="dxa"/>
            <w:left w:w="108" w:type="dxa"/>
            <w:bottom w:w="0" w:type="dxa"/>
            <w:right w:w="108" w:type="dxa"/>
          </w:tblCellMar>
        </w:tblPrEx>
        <w:trPr>
          <w:trHeight w:val="90" w:hRule="atLeast"/>
          <w:jc w:val="center"/>
        </w:trPr>
        <w:tc>
          <w:tcPr>
            <w:tcW w:w="1065"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w:t>
            </w:r>
          </w:p>
          <w:p>
            <w:pPr>
              <w:widowControl/>
              <w:spacing w:line="240" w:lineRule="exact"/>
              <w:jc w:val="center"/>
              <w:rPr>
                <w:rFonts w:hint="eastAsia" w:ascii="仿宋_GB2312" w:hAnsi="仿宋_GB2312" w:eastAsia="仿宋_GB2312" w:cs="仿宋_GB2312"/>
                <w:color w:val="000000"/>
                <w:sz w:val="24"/>
                <w:szCs w:val="24"/>
              </w:rPr>
            </w:pP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101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二级指标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三级指标</w:t>
            </w:r>
          </w:p>
        </w:tc>
        <w:tc>
          <w:tcPr>
            <w:tcW w:w="1513"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年度指标值</w:t>
            </w:r>
          </w:p>
        </w:tc>
        <w:tc>
          <w:tcPr>
            <w:tcW w:w="1321"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实际完成值</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分值</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得分</w:t>
            </w:r>
          </w:p>
        </w:tc>
        <w:tc>
          <w:tcPr>
            <w:tcW w:w="1367"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偏差原因分析及改进措施</w:t>
            </w:r>
          </w:p>
        </w:tc>
      </w:tr>
      <w:tr>
        <w:tblPrEx>
          <w:tblCellMar>
            <w:top w:w="0" w:type="dxa"/>
            <w:left w:w="108" w:type="dxa"/>
            <w:bottom w:w="0" w:type="dxa"/>
            <w:right w:w="108" w:type="dxa"/>
          </w:tblCellMar>
        </w:tblPrEx>
        <w:trPr>
          <w:trHeight w:val="838"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产出指标</w:t>
            </w:r>
          </w:p>
          <w:p>
            <w:pPr>
              <w:widowControl/>
              <w:spacing w:line="240" w:lineRule="exact"/>
              <w:jc w:val="center"/>
              <w:rPr>
                <w:rFonts w:hint="eastAsia" w:ascii="仿宋_GB2312" w:hAnsi="仿宋_GB2312" w:eastAsia="仿宋_GB2312" w:cs="仿宋_GB2312"/>
                <w:color w:val="000000"/>
                <w:sz w:val="24"/>
                <w:szCs w:val="24"/>
              </w:rPr>
            </w:pP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(50分)</w:t>
            </w:r>
          </w:p>
        </w:tc>
        <w:tc>
          <w:tcPr>
            <w:tcW w:w="1012"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新建产业学院</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1-2所</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1所</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102"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举办匠心党建论坛</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2-3场</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5场</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653"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拉通现有断头路</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2条</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3条</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增设园区内公交路线</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1-2条</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年度工作目标进行了优化调整，而编制预算时填报的整体绩效目标申报表未适时调整，由此产生了偏差，后续将进一步优化整体绩效目标的申报</w:t>
            </w:r>
          </w:p>
        </w:tc>
      </w:tr>
      <w:tr>
        <w:tblPrEx>
          <w:tblCellMar>
            <w:top w:w="0" w:type="dxa"/>
            <w:left w:w="108" w:type="dxa"/>
            <w:bottom w:w="0" w:type="dxa"/>
            <w:right w:w="108" w:type="dxa"/>
          </w:tblCellMar>
        </w:tblPrEx>
        <w:trPr>
          <w:trHeight w:val="1245"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构建中职</w:t>
            </w:r>
            <w:r>
              <w:rPr>
                <w:rFonts w:hint="eastAsia" w:ascii="仿宋_GB2312" w:hAnsi="仿宋_GB2312" w:eastAsia="仿宋_GB2312" w:cs="仿宋_GB2312"/>
                <w:color w:val="000000"/>
                <w:sz w:val="24"/>
                <w:szCs w:val="24"/>
                <w:lang w:val="en-US" w:eastAsia="zh-CN"/>
              </w:rPr>
              <w:t>-高职-职业本科体系</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1-2所职业本科纳入建设计划</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3所院校纳入“十四五”升本规划</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2760"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打造平安园区、无毒园区</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达标率</w:t>
            </w:r>
            <w:r>
              <w:rPr>
                <w:rFonts w:hint="eastAsia" w:ascii="仿宋_GB2312" w:hAnsi="仿宋_GB2312" w:eastAsia="仿宋_GB2312" w:cs="仿宋_GB2312"/>
                <w:color w:val="000000"/>
                <w:sz w:val="24"/>
                <w:szCs w:val="24"/>
                <w:lang w:val="en-US" w:eastAsia="zh-CN"/>
              </w:rPr>
              <w:t>100%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100%，并获</w:t>
            </w:r>
            <w:r>
              <w:rPr>
                <w:rFonts w:hint="eastAsia" w:ascii="仿宋_GB2312" w:hAnsi="仿宋_GB2312" w:eastAsia="仿宋_GB2312" w:cs="仿宋_GB2312"/>
                <w:color w:val="000000"/>
                <w:sz w:val="24"/>
                <w:szCs w:val="24"/>
                <w:lang w:eastAsia="zh-CN"/>
              </w:rPr>
              <w:t>2021-2022年度株洲市“禁毒宣传教育工作先进单位”</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845" w:hRule="atLeast"/>
          <w:jc w:val="center"/>
        </w:trPr>
        <w:tc>
          <w:tcPr>
            <w:tcW w:w="1065"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园区食品安全事故发生率</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858"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院校诉求办理</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及时回复</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及时回复</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805" w:hRule="atLeast"/>
          <w:jc w:val="center"/>
        </w:trPr>
        <w:tc>
          <w:tcPr>
            <w:tcW w:w="1065"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42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各项工作任务完成时间</w:t>
            </w:r>
          </w:p>
        </w:tc>
        <w:tc>
          <w:tcPr>
            <w:tcW w:w="151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2022年12月底</w:t>
            </w:r>
          </w:p>
        </w:tc>
        <w:tc>
          <w:tcPr>
            <w:tcW w:w="132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2022年12月底</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9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36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955"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“双师”工作室项目经费</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5万元/个</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5万元/个</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80"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院校师生的培训会招聘会经费</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4万元/次</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4万元/次</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28"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匠心党建论坛活动费用</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4万/场</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4万/场</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90"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乡村振兴帮扶资金</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26万元</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22万元</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1.7</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2060"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效益指标</w:t>
            </w:r>
          </w:p>
          <w:p>
            <w:pPr>
              <w:widowControl/>
              <w:spacing w:line="240" w:lineRule="exact"/>
              <w:jc w:val="left"/>
              <w:rPr>
                <w:rFonts w:hint="eastAsia" w:ascii="仿宋_GB2312" w:hAnsi="仿宋_GB2312" w:eastAsia="仿宋_GB2312" w:cs="仿宋_GB2312"/>
                <w:color w:val="000000"/>
                <w:sz w:val="24"/>
                <w:szCs w:val="24"/>
              </w:rPr>
            </w:pP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（30分）</w:t>
            </w:r>
          </w:p>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12"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促进校企合作，院士工作站，双师工作室技术成果转化效能</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622"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为中小微企业、退役军人、农民工等提供就业培训指导</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92"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园区高职院校毕业生长株潭就业率</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40%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40%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258"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园区技工类院校毕业生长株潭就业率</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70%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70%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84"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教育基金筹款额</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达到</w:t>
            </w:r>
            <w:r>
              <w:rPr>
                <w:rFonts w:hint="eastAsia" w:ascii="仿宋_GB2312" w:hAnsi="仿宋_GB2312" w:eastAsia="仿宋_GB2312" w:cs="仿宋_GB2312"/>
                <w:color w:val="000000"/>
                <w:sz w:val="24"/>
                <w:szCs w:val="24"/>
                <w:lang w:val="en-US" w:eastAsia="zh-CN"/>
              </w:rPr>
              <w:t>1000万</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年度工作目标进行了优化调整，而编制预算时填报的整体绩效目标申报表未适时调整，由此产生了偏差，后续将进一步优化整体绩效目标的申报</w:t>
            </w:r>
          </w:p>
        </w:tc>
      </w:tr>
      <w:tr>
        <w:tblPrEx>
          <w:tblCellMar>
            <w:top w:w="0" w:type="dxa"/>
            <w:left w:w="108" w:type="dxa"/>
            <w:bottom w:w="0" w:type="dxa"/>
            <w:right w:w="108" w:type="dxa"/>
          </w:tblCellMar>
        </w:tblPrEx>
        <w:trPr>
          <w:trHeight w:val="2367"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助推“国家产教融合型城市”创建工作，打造在全面有重要影响力的一流职业教育科技园</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显著</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显著</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067"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提升教师、学生综合能力素质</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142"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优化完善株洲高等教育结构层次</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765"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打造技能竞赛基地</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显著</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02"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节约型机关创建</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文明机关达标</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达标</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967"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职教园分布式能源升级检修率</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80%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53"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12"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园区校园绿化覆盖率</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35%</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35%</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245" w:hRule="atLeast"/>
          <w:jc w:val="center"/>
        </w:trPr>
        <w:tc>
          <w:tcPr>
            <w:tcW w:w="106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p>
        </w:tc>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p>
        </w:tc>
        <w:tc>
          <w:tcPr>
            <w:tcW w:w="10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可持续影响指标</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做大株洲职教品牌，提升园区社会影响力</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显著</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显著</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9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1333" w:hRule="atLeast"/>
          <w:jc w:val="center"/>
        </w:trPr>
        <w:tc>
          <w:tcPr>
            <w:tcW w:w="1065"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4"/>
                <w:szCs w:val="24"/>
              </w:rPr>
            </w:pPr>
          </w:p>
        </w:tc>
        <w:tc>
          <w:tcPr>
            <w:tcW w:w="106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w:t>
            </w:r>
          </w:p>
        </w:tc>
        <w:tc>
          <w:tcPr>
            <w:tcW w:w="101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服务对象满意度指标</w:t>
            </w:r>
          </w:p>
        </w:tc>
        <w:tc>
          <w:tcPr>
            <w:tcW w:w="142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园区院校，师生服务满意度</w:t>
            </w:r>
          </w:p>
        </w:tc>
        <w:tc>
          <w:tcPr>
            <w:tcW w:w="15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100%</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270" w:hRule="atLeast"/>
          <w:jc w:val="center"/>
        </w:trPr>
        <w:tc>
          <w:tcPr>
            <w:tcW w:w="7405"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95.3</w:t>
            </w:r>
          </w:p>
        </w:tc>
        <w:tc>
          <w:tcPr>
            <w:tcW w:w="136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kern w:val="0"/>
                <w:sz w:val="24"/>
                <w:szCs w:val="24"/>
              </w:rPr>
              <w:t>等级：</w:t>
            </w:r>
            <w:r>
              <w:rPr>
                <w:rFonts w:hint="eastAsia" w:ascii="仿宋_GB2312" w:hAnsi="仿宋_GB2312" w:eastAsia="仿宋_GB2312" w:cs="仿宋_GB2312"/>
                <w:color w:val="000000"/>
                <w:kern w:val="0"/>
                <w:sz w:val="24"/>
                <w:szCs w:val="24"/>
                <w:lang w:eastAsia="zh-CN"/>
              </w:rPr>
              <w:t>优</w:t>
            </w:r>
          </w:p>
        </w:tc>
      </w:tr>
    </w:tbl>
    <w:p>
      <w:pPr>
        <w:tabs>
          <w:tab w:val="left" w:pos="7560"/>
        </w:tabs>
        <w:adjustRightInd w:val="0"/>
        <w:snapToGrid w:val="0"/>
        <w:spacing w:line="560" w:lineRule="exact"/>
        <w:rPr>
          <w:rFonts w:hint="eastAsia" w:eastAsia="仿宋_GB2312"/>
          <w:sz w:val="22"/>
          <w:szCs w:val="22"/>
        </w:rPr>
      </w:pPr>
      <w:r>
        <w:rPr>
          <w:rFonts w:hint="eastAsia" w:ascii="仿宋_GB2312" w:hAnsi="仿宋_GB2312" w:eastAsia="仿宋_GB2312" w:cs="仿宋_GB2312"/>
          <w:sz w:val="24"/>
          <w:szCs w:val="24"/>
        </w:rPr>
        <w:t>填表人：</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填报日期：</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联系电话： </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单位负责人签字：</w:t>
      </w:r>
    </w:p>
    <w:p>
      <w:pPr>
        <w:tabs>
          <w:tab w:val="left" w:pos="7560"/>
        </w:tabs>
        <w:adjustRightInd w:val="0"/>
        <w:snapToGrid w:val="0"/>
        <w:spacing w:line="560" w:lineRule="exact"/>
        <w:rPr>
          <w:rFonts w:hint="eastAsia" w:eastAsia="仿宋_GB2312"/>
          <w:sz w:val="22"/>
          <w:szCs w:val="22"/>
        </w:rPr>
      </w:pPr>
    </w:p>
    <w:p>
      <w:pPr>
        <w:tabs>
          <w:tab w:val="left" w:pos="7560"/>
        </w:tabs>
        <w:adjustRightInd w:val="0"/>
        <w:snapToGrid w:val="0"/>
        <w:spacing w:line="560" w:lineRule="exact"/>
        <w:rPr>
          <w:rFonts w:hint="eastAsia" w:eastAsia="仿宋_GB2312"/>
          <w:sz w:val="22"/>
          <w:szCs w:val="22"/>
        </w:rPr>
      </w:pPr>
    </w:p>
    <w:p>
      <w:pPr>
        <w:tabs>
          <w:tab w:val="left" w:pos="7560"/>
        </w:tabs>
        <w:adjustRightInd w:val="0"/>
        <w:snapToGrid w:val="0"/>
        <w:spacing w:line="560" w:lineRule="exact"/>
        <w:rPr>
          <w:rFonts w:hint="eastAsia" w:eastAsia="仿宋_GB2312"/>
          <w:sz w:val="22"/>
          <w:szCs w:val="22"/>
        </w:rPr>
      </w:pPr>
    </w:p>
    <w:p>
      <w:pPr>
        <w:tabs>
          <w:tab w:val="left" w:pos="7560"/>
        </w:tabs>
        <w:adjustRightInd w:val="0"/>
        <w:snapToGrid w:val="0"/>
        <w:spacing w:line="560" w:lineRule="exact"/>
        <w:rPr>
          <w:rFonts w:hint="eastAsia" w:eastAsia="仿宋_GB2312"/>
          <w:sz w:val="22"/>
          <w:szCs w:val="22"/>
        </w:rPr>
      </w:pPr>
    </w:p>
    <w:p>
      <w:pPr>
        <w:tabs>
          <w:tab w:val="left" w:pos="7560"/>
        </w:tabs>
        <w:adjustRightInd w:val="0"/>
        <w:snapToGrid w:val="0"/>
        <w:spacing w:line="560" w:lineRule="exact"/>
        <w:rPr>
          <w:rFonts w:hint="eastAsia" w:eastAsia="仿宋_GB2312"/>
          <w:sz w:val="22"/>
          <w:szCs w:val="22"/>
        </w:rPr>
      </w:pPr>
    </w:p>
    <w:p>
      <w:pPr>
        <w:widowControl/>
        <w:spacing w:line="60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1-3</w:t>
      </w:r>
    </w:p>
    <w:p>
      <w:pPr>
        <w:widowControl/>
        <w:spacing w:line="600" w:lineRule="exact"/>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2022年度项目支出绩效自评表</w:t>
      </w:r>
    </w:p>
    <w:tbl>
      <w:tblPr>
        <w:tblStyle w:val="4"/>
        <w:tblW w:w="11020" w:type="dxa"/>
        <w:jc w:val="center"/>
        <w:tblLayout w:type="fixed"/>
        <w:tblCellMar>
          <w:top w:w="0" w:type="dxa"/>
          <w:left w:w="108" w:type="dxa"/>
          <w:bottom w:w="0" w:type="dxa"/>
          <w:right w:w="108" w:type="dxa"/>
        </w:tblCellMar>
      </w:tblPr>
      <w:tblGrid>
        <w:gridCol w:w="938"/>
        <w:gridCol w:w="1087"/>
        <w:gridCol w:w="1388"/>
        <w:gridCol w:w="1416"/>
        <w:gridCol w:w="1488"/>
        <w:gridCol w:w="1975"/>
        <w:gridCol w:w="722"/>
        <w:gridCol w:w="737"/>
        <w:gridCol w:w="1269"/>
      </w:tblGrid>
      <w:tr>
        <w:tblPrEx>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w:t>
            </w:r>
          </w:p>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出名称</w:t>
            </w:r>
          </w:p>
        </w:tc>
        <w:tc>
          <w:tcPr>
            <w:tcW w:w="10082"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教育经费　</w:t>
            </w:r>
          </w:p>
        </w:tc>
      </w:tr>
      <w:tr>
        <w:tblPrEx>
          <w:tblCellMar>
            <w:top w:w="0" w:type="dxa"/>
            <w:left w:w="108" w:type="dxa"/>
            <w:bottom w:w="0" w:type="dxa"/>
            <w:right w:w="108" w:type="dxa"/>
          </w:tblCellMar>
        </w:tblPrEx>
        <w:trPr>
          <w:jc w:val="center"/>
        </w:trPr>
        <w:tc>
          <w:tcPr>
            <w:tcW w:w="938"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主管部门</w:t>
            </w:r>
          </w:p>
        </w:tc>
        <w:tc>
          <w:tcPr>
            <w:tcW w:w="5379"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975"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实施单位</w:t>
            </w:r>
          </w:p>
        </w:tc>
        <w:tc>
          <w:tcPr>
            <w:tcW w:w="2728"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株洲职业教育科技园管理办公室</w:t>
            </w:r>
          </w:p>
        </w:tc>
      </w:tr>
      <w:tr>
        <w:tblPrEx>
          <w:tblCellMar>
            <w:top w:w="0" w:type="dxa"/>
            <w:left w:w="108" w:type="dxa"/>
            <w:bottom w:w="0" w:type="dxa"/>
            <w:right w:w="108" w:type="dxa"/>
          </w:tblCellMar>
        </w:tblPrEx>
        <w:trPr>
          <w:jc w:val="center"/>
        </w:trPr>
        <w:tc>
          <w:tcPr>
            <w:tcW w:w="93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项目资金</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247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41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年初</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全年</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97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执行数</w:t>
            </w:r>
          </w:p>
        </w:tc>
        <w:tc>
          <w:tcPr>
            <w:tcW w:w="722"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73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执行率</w:t>
            </w:r>
          </w:p>
        </w:tc>
        <w:tc>
          <w:tcPr>
            <w:tcW w:w="1269"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tblPrEx>
          <w:tblCellMar>
            <w:top w:w="0" w:type="dxa"/>
            <w:left w:w="108" w:type="dxa"/>
            <w:bottom w:w="0" w:type="dxa"/>
            <w:right w:w="108" w:type="dxa"/>
          </w:tblCellMar>
        </w:tblPrEx>
        <w:trPr>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47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年度资金总额　</w:t>
            </w:r>
          </w:p>
        </w:tc>
        <w:tc>
          <w:tcPr>
            <w:tcW w:w="141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r>
      <w:tr>
        <w:tblPrEx>
          <w:tblCellMar>
            <w:top w:w="0" w:type="dxa"/>
            <w:left w:w="108" w:type="dxa"/>
            <w:bottom w:w="0" w:type="dxa"/>
            <w:right w:w="108" w:type="dxa"/>
          </w:tblCellMar>
        </w:tblPrEx>
        <w:trPr>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47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其中：当年财政拨款　</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20</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20</w:t>
            </w:r>
          </w:p>
        </w:tc>
        <w:tc>
          <w:tcPr>
            <w:tcW w:w="72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475"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上年结转资金　</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48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97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2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475" w:type="dxa"/>
            <w:gridSpan w:val="2"/>
            <w:tcBorders>
              <w:top w:val="nil"/>
              <w:left w:val="nil"/>
              <w:bottom w:val="single" w:color="auto" w:sz="4" w:space="0"/>
              <w:right w:val="single" w:color="auto" w:sz="4" w:space="0"/>
            </w:tcBorders>
            <w:noWrap w:val="0"/>
            <w:vAlign w:val="center"/>
          </w:tcPr>
          <w:p>
            <w:pPr>
              <w:widowControl/>
              <w:ind w:firstLine="720" w:firstLineChars="3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其他资金</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48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97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2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73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90" w:hRule="atLeast"/>
          <w:jc w:val="center"/>
        </w:trPr>
        <w:tc>
          <w:tcPr>
            <w:tcW w:w="93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年度总体目标</w:t>
            </w:r>
          </w:p>
        </w:tc>
        <w:tc>
          <w:tcPr>
            <w:tcW w:w="53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703"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实际完成情况　</w:t>
            </w:r>
          </w:p>
        </w:tc>
      </w:tr>
      <w:tr>
        <w:tblPrEx>
          <w:tblCellMar>
            <w:top w:w="0" w:type="dxa"/>
            <w:left w:w="108" w:type="dxa"/>
            <w:bottom w:w="0" w:type="dxa"/>
            <w:right w:w="108" w:type="dxa"/>
          </w:tblCellMar>
        </w:tblPrEx>
        <w:trPr>
          <w:trHeight w:val="6886" w:hRule="atLeast"/>
          <w:jc w:val="center"/>
        </w:trPr>
        <w:tc>
          <w:tcPr>
            <w:tcW w:w="93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53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开展湖南九郎山职教科创城提质升级工作</w:t>
            </w:r>
          </w:p>
        </w:tc>
        <w:tc>
          <w:tcPr>
            <w:tcW w:w="470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eastAsia="zh-CN"/>
              </w:rPr>
              <w:t>成立了以市委书记任第一主任的市级工作专班和厅市共建共管的联合工作专班，形成了齐抓共管的协调工作机制；出台了《湖南九郎山职教科创城提质升级五年行动方案》；成立九郎山职教科创城发展集团有限公司，专注片区开发运营；牵头做好《湖南职业教育科创城控制性详细规划》的编制审批工作，对职教城用地进行调规扩容，实现职教城与周边功能区域空间贯通，同时新增职业教育院校用地1204亩，并预留816亩新增院校用地，满足院校升级升格及未来发展用地需求；铁道职院、铁科职院合并转设为职业本科工作有序推进，汽车职院、化工职院、中医高专已纳入教育部“十四五”升本规划，南方航校正式并入工贸技师学院，拟建设航空类高职院校；积极推进企业大师进校园，校园名师进企业，推进校企联合培养人才，评选优秀名师工作室15个、大师工作室10个；完成商业技师学院零售产业学院筹备工作、新增马鞍社区学院，新增</w:t>
            </w:r>
            <w:r>
              <w:rPr>
                <w:rFonts w:hint="eastAsia" w:ascii="仿宋_GB2312" w:hAnsi="仿宋_GB2312" w:eastAsia="仿宋_GB2312" w:cs="仿宋_GB2312"/>
                <w:color w:val="000000"/>
                <w:sz w:val="24"/>
                <w:szCs w:val="24"/>
                <w:lang w:val="en-US" w:eastAsia="zh-CN"/>
              </w:rPr>
              <w:t>6所产业学院，</w:t>
            </w:r>
            <w:r>
              <w:rPr>
                <w:rFonts w:hint="eastAsia" w:ascii="仿宋_GB2312" w:hAnsi="仿宋_GB2312" w:eastAsia="仿宋_GB2312" w:cs="仿宋_GB2312"/>
                <w:color w:val="000000"/>
                <w:sz w:val="24"/>
                <w:szCs w:val="24"/>
                <w:lang w:eastAsia="zh-CN"/>
              </w:rPr>
              <w:t>截止目前共有产业学院9个、社区学院11个。</w:t>
            </w:r>
          </w:p>
        </w:tc>
      </w:tr>
      <w:tr>
        <w:tblPrEx>
          <w:tblCellMar>
            <w:top w:w="0" w:type="dxa"/>
            <w:left w:w="108" w:type="dxa"/>
            <w:bottom w:w="0" w:type="dxa"/>
            <w:right w:w="108" w:type="dxa"/>
          </w:tblCellMar>
        </w:tblPrEx>
        <w:trPr>
          <w:jc w:val="center"/>
        </w:trPr>
        <w:tc>
          <w:tcPr>
            <w:tcW w:w="938"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w:t>
            </w:r>
          </w:p>
        </w:tc>
        <w:tc>
          <w:tcPr>
            <w:tcW w:w="108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13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二级指标</w:t>
            </w:r>
          </w:p>
        </w:tc>
        <w:tc>
          <w:tcPr>
            <w:tcW w:w="14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三级指标</w:t>
            </w:r>
          </w:p>
        </w:tc>
        <w:tc>
          <w:tcPr>
            <w:tcW w:w="14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指标值</w:t>
            </w:r>
          </w:p>
        </w:tc>
        <w:tc>
          <w:tcPr>
            <w:tcW w:w="197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完成值</w:t>
            </w:r>
          </w:p>
        </w:tc>
        <w:tc>
          <w:tcPr>
            <w:tcW w:w="7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分值</w:t>
            </w:r>
          </w:p>
        </w:tc>
        <w:tc>
          <w:tcPr>
            <w:tcW w:w="7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得分</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偏差原因分析及改进措施</w:t>
            </w:r>
          </w:p>
        </w:tc>
      </w:tr>
      <w:tr>
        <w:tblPrEx>
          <w:tblCellMar>
            <w:top w:w="0" w:type="dxa"/>
            <w:left w:w="108" w:type="dxa"/>
            <w:bottom w:w="0" w:type="dxa"/>
            <w:right w:w="108" w:type="dxa"/>
          </w:tblCellMar>
        </w:tblPrEx>
        <w:trPr>
          <w:trHeight w:val="816" w:hRule="atLeast"/>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产出指标</w:t>
            </w: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(50分)</w:t>
            </w:r>
          </w:p>
        </w:tc>
        <w:tc>
          <w:tcPr>
            <w:tcW w:w="138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新增社区学院</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1个</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1个</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38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争取</w:t>
            </w:r>
            <w:r>
              <w:rPr>
                <w:rFonts w:hint="eastAsia" w:ascii="仿宋_GB2312" w:hAnsi="仿宋_GB2312" w:eastAsia="仿宋_GB2312" w:cs="仿宋_GB2312"/>
                <w:color w:val="000000"/>
                <w:sz w:val="24"/>
                <w:szCs w:val="24"/>
                <w:lang w:val="en-US" w:eastAsia="zh-CN"/>
              </w:rPr>
              <w:t>2所院校纳入升本规划</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2所</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3所</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3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实现园区调规扩容</w:t>
            </w:r>
          </w:p>
        </w:tc>
        <w:tc>
          <w:tcPr>
            <w:tcW w:w="1488" w:type="dxa"/>
            <w:tcBorders>
              <w:top w:val="nil"/>
              <w:left w:val="nil"/>
              <w:bottom w:val="single" w:color="auto" w:sz="4" w:space="0"/>
              <w:right w:val="single" w:color="auto" w:sz="4" w:space="0"/>
            </w:tcBorders>
            <w:noWrap w:val="0"/>
            <w:vAlign w:val="center"/>
          </w:tcPr>
          <w:p>
            <w:pPr>
              <w:widowControl/>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实现园区调规扩容</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新增教育用地1604亩，控规面积从原有的13.9平方公里拓展至20平方公里</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各项提质升级工作完成时间</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12月底前</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12月底</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争取省厅每年不低于500万元资金，用于职教科创城内公共实训基地建设</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≥500万元</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≥500万元</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restart"/>
            <w:tcBorders>
              <w:top w:val="single" w:color="auto" w:sz="4" w:space="0"/>
              <w:left w:val="nil"/>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效益指标</w:t>
            </w: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（30分）</w:t>
            </w: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1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新增产业学院</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5所</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6所</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left w:val="nil"/>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毕业生总体去向落实率达9</w:t>
            </w:r>
            <w:r>
              <w:rPr>
                <w:rFonts w:hint="eastAsia" w:ascii="仿宋_GB2312" w:hAnsi="仿宋_GB2312" w:eastAsia="仿宋_GB2312" w:cs="仿宋_GB2312"/>
                <w:color w:val="000000"/>
                <w:sz w:val="24"/>
                <w:szCs w:val="24"/>
                <w:lang w:val="en-US" w:eastAsia="zh-CN"/>
              </w:rPr>
              <w:t>0</w:t>
            </w:r>
            <w:r>
              <w:rPr>
                <w:rFonts w:hint="eastAsia" w:ascii="仿宋_GB2312" w:hAnsi="仿宋_GB2312" w:eastAsia="仿宋_GB2312" w:cs="仿宋_GB2312"/>
                <w:color w:val="000000"/>
                <w:sz w:val="24"/>
                <w:szCs w:val="24"/>
                <w:lang w:eastAsia="zh-CN"/>
              </w:rPr>
              <w:t>%以上</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≥90%</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91%</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trHeight w:val="420" w:hRule="atLeast"/>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vMerge w:val="continue"/>
            <w:tcBorders>
              <w:left w:val="nil"/>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41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无</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087" w:type="dxa"/>
            <w:vMerge w:val="continue"/>
            <w:tcBorders>
              <w:left w:val="nil"/>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138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可持续影响指标</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积极筹办赛项</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≥30项</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36项</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938"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087" w:type="dxa"/>
            <w:vMerge w:val="continue"/>
            <w:tcBorders>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138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打响品牌，扩大知名度</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联合权威媒体，推出系列专题报道不少于50篇</w:t>
            </w:r>
          </w:p>
        </w:tc>
        <w:tc>
          <w:tcPr>
            <w:tcW w:w="19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57篇</w:t>
            </w:r>
          </w:p>
        </w:tc>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7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18" w:hRule="atLeast"/>
          <w:jc w:val="center"/>
        </w:trPr>
        <w:tc>
          <w:tcPr>
            <w:tcW w:w="938"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w:t>
            </w:r>
          </w:p>
        </w:tc>
        <w:tc>
          <w:tcPr>
            <w:tcW w:w="13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服务对象满意度指标</w:t>
            </w:r>
          </w:p>
        </w:tc>
        <w:tc>
          <w:tcPr>
            <w:tcW w:w="141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院校满意度</w:t>
            </w:r>
          </w:p>
        </w:tc>
        <w:tc>
          <w:tcPr>
            <w:tcW w:w="14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98%</w:t>
            </w:r>
          </w:p>
        </w:tc>
        <w:tc>
          <w:tcPr>
            <w:tcW w:w="197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98%</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269"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829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72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73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等级：</w:t>
            </w:r>
            <w:r>
              <w:rPr>
                <w:rFonts w:hint="eastAsia" w:ascii="仿宋_GB2312" w:hAnsi="仿宋_GB2312" w:eastAsia="仿宋_GB2312" w:cs="仿宋_GB2312"/>
                <w:color w:val="000000"/>
                <w:kern w:val="0"/>
                <w:sz w:val="24"/>
                <w:szCs w:val="24"/>
                <w:lang w:eastAsia="zh-CN"/>
              </w:rPr>
              <w:t>优</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备注：一个一级项目支出一张表。</w:t>
      </w:r>
    </w:p>
    <w:p>
      <w:pPr>
        <w:widowControl/>
        <w:jc w:val="left"/>
        <w:rPr>
          <w:rFonts w:hint="eastAsia" w:ascii="仿宋_GB2312" w:hAnsi="仿宋_GB2312" w:eastAsia="仿宋_GB2312" w:cs="仿宋_GB2312"/>
          <w:sz w:val="24"/>
          <w:szCs w:val="24"/>
        </w:rPr>
        <w:sectPr>
          <w:footerReference r:id="rId3" w:type="default"/>
          <w:footerReference r:id="rId4" w:type="even"/>
          <w:pgSz w:w="11906" w:h="16838"/>
          <w:pgMar w:top="2098" w:right="1531" w:bottom="1985" w:left="1531" w:header="851" w:footer="1588" w:gutter="0"/>
          <w:cols w:space="720" w:num="1"/>
          <w:docGrid w:linePitch="312" w:charSpace="0"/>
        </w:sectPr>
      </w:pPr>
      <w:r>
        <w:rPr>
          <w:rFonts w:hint="eastAsia" w:ascii="仿宋_GB2312" w:hAnsi="仿宋_GB2312" w:eastAsia="仿宋_GB2312" w:cs="仿宋_GB2312"/>
          <w:sz w:val="24"/>
          <w:szCs w:val="24"/>
        </w:rPr>
        <w:t>填表人：</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填报日期：</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联系电话：</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单位负责人签字：</w:t>
      </w:r>
    </w:p>
    <w:p>
      <w:pPr>
        <w:widowControl/>
        <w:spacing w:line="600" w:lineRule="exact"/>
        <w:jc w:val="left"/>
        <w:rPr>
          <w:rFonts w:hint="eastAsia" w:ascii="黑体" w:hAnsi="黑体" w:eastAsia="黑体"/>
          <w:sz w:val="32"/>
          <w:szCs w:val="32"/>
        </w:rPr>
      </w:pPr>
      <w:r>
        <w:rPr>
          <w:rFonts w:hint="eastAsia" w:ascii="黑体" w:hAnsi="黑体" w:eastAsia="黑体"/>
          <w:sz w:val="32"/>
          <w:szCs w:val="32"/>
        </w:rPr>
        <w:t>附件1-3</w:t>
      </w:r>
    </w:p>
    <w:p>
      <w:pPr>
        <w:widowControl/>
        <w:spacing w:line="600" w:lineRule="exact"/>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2022年度项目支出绩效自评表</w:t>
      </w:r>
    </w:p>
    <w:tbl>
      <w:tblPr>
        <w:tblStyle w:val="4"/>
        <w:tblW w:w="10611" w:type="dxa"/>
        <w:jc w:val="center"/>
        <w:tblLayout w:type="fixed"/>
        <w:tblCellMar>
          <w:top w:w="0" w:type="dxa"/>
          <w:left w:w="108" w:type="dxa"/>
          <w:bottom w:w="0" w:type="dxa"/>
          <w:right w:w="108" w:type="dxa"/>
        </w:tblCellMar>
      </w:tblPr>
      <w:tblGrid>
        <w:gridCol w:w="1080"/>
        <w:gridCol w:w="1080"/>
        <w:gridCol w:w="1080"/>
        <w:gridCol w:w="1224"/>
        <w:gridCol w:w="1313"/>
        <w:gridCol w:w="1107"/>
        <w:gridCol w:w="676"/>
        <w:gridCol w:w="873"/>
        <w:gridCol w:w="217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w:t>
            </w:r>
          </w:p>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出名称</w:t>
            </w:r>
          </w:p>
        </w:tc>
        <w:tc>
          <w:tcPr>
            <w:tcW w:w="953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职业发展教育专项经费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主管部门</w:t>
            </w:r>
          </w:p>
        </w:tc>
        <w:tc>
          <w:tcPr>
            <w:tcW w:w="469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10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实施单位</w:t>
            </w:r>
          </w:p>
        </w:tc>
        <w:tc>
          <w:tcPr>
            <w:tcW w:w="3727"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株洲职业教育科技园管理办公室</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项目资金</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年初</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全年</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107"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执行数</w:t>
            </w:r>
          </w:p>
        </w:tc>
        <w:tc>
          <w:tcPr>
            <w:tcW w:w="676"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8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执行率</w:t>
            </w:r>
          </w:p>
        </w:tc>
        <w:tc>
          <w:tcPr>
            <w:tcW w:w="217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19.94</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99.7%</w:t>
            </w:r>
          </w:p>
        </w:tc>
        <w:tc>
          <w:tcPr>
            <w:tcW w:w="217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20</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19.94</w:t>
            </w:r>
          </w:p>
        </w:tc>
        <w:tc>
          <w:tcPr>
            <w:tcW w:w="67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ind w:firstLine="720" w:firstLineChars="3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10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67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ind w:firstLine="720" w:firstLineChars="3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10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676"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年度总体目标</w:t>
            </w:r>
          </w:p>
        </w:tc>
        <w:tc>
          <w:tcPr>
            <w:tcW w:w="469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83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469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1、开展园区职教法宣传；2、拨付乡村振兴工作经费；3、拨付“百舸争流 千帆竞发”党史知识竞赛奖金</w:t>
            </w:r>
            <w:r>
              <w:rPr>
                <w:rFonts w:hint="eastAsia" w:ascii="仿宋_GB2312" w:hAnsi="仿宋_GB2312" w:eastAsia="仿宋_GB2312" w:cs="仿宋_GB2312"/>
                <w:color w:val="000000"/>
                <w:sz w:val="24"/>
                <w:szCs w:val="24"/>
              </w:rPr>
              <w:t>　　</w:t>
            </w:r>
          </w:p>
        </w:tc>
        <w:tc>
          <w:tcPr>
            <w:tcW w:w="4834"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1、在园区开展了</w:t>
            </w:r>
            <w:r>
              <w:rPr>
                <w:rFonts w:hint="eastAsia" w:ascii="仿宋_GB2312" w:hAnsi="仿宋_GB2312" w:eastAsia="仿宋_GB2312" w:cs="仿宋_GB2312"/>
                <w:color w:val="000000"/>
                <w:sz w:val="24"/>
                <w:szCs w:val="24"/>
              </w:rPr>
              <w:t>职业教育法的宣传</w:t>
            </w:r>
            <w:r>
              <w:rPr>
                <w:rFonts w:hint="eastAsia" w:ascii="仿宋_GB2312" w:hAnsi="仿宋_GB2312" w:eastAsia="仿宋_GB2312" w:cs="仿宋_GB2312"/>
                <w:color w:val="000000"/>
                <w:sz w:val="24"/>
                <w:szCs w:val="24"/>
                <w:lang w:eastAsia="zh-CN"/>
              </w:rPr>
              <w:t>，对园区师生深刻理解新职业教育法，认清职业教育的重要意义及如何办好职业教育起到了积极作用，营造了普法学法的氛围，扩大了职业教育的影响力。</w:t>
            </w:r>
            <w:r>
              <w:rPr>
                <w:rFonts w:hint="eastAsia" w:ascii="仿宋_GB2312" w:hAnsi="仿宋_GB2312" w:eastAsia="仿宋_GB2312" w:cs="仿宋_GB2312"/>
                <w:color w:val="000000"/>
                <w:sz w:val="24"/>
                <w:szCs w:val="24"/>
                <w:lang w:val="en-US" w:eastAsia="zh-CN"/>
              </w:rPr>
              <w:t>2、2022年，职教园管理办联点醴陵孙家湾村，选派专人、筹集专款，指导村集体党建和经济社会发展，孙家湾乡村振兴工作走在全市前列，全年乡村振兴累计开支达22万。</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三级指标</w:t>
            </w:r>
          </w:p>
        </w:tc>
        <w:tc>
          <w:tcPr>
            <w:tcW w:w="13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指标值</w:t>
            </w:r>
          </w:p>
        </w:tc>
        <w:tc>
          <w:tcPr>
            <w:tcW w:w="11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完成值</w:t>
            </w:r>
          </w:p>
        </w:tc>
        <w:tc>
          <w:tcPr>
            <w:tcW w:w="67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得分</w:t>
            </w:r>
          </w:p>
        </w:tc>
        <w:tc>
          <w:tcPr>
            <w:tcW w:w="217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产出指标</w:t>
            </w: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新职教法宣传</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1次</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1次</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园区普法氛围浓厚，职教影响力不断提升</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取得成效</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取得成效</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年底前完成“百舸争流千帆竞发”党史知识竞赛奖金拨付</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12月底之前</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 w:val="24"/>
                <w:szCs w:val="24"/>
              </w:rPr>
            </w:pP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年底前完成乡村振兴资金拨付</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12月底之前</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拨付乡村振兴资金</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20万元</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22万元</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效益指标</w:t>
            </w: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（30分）</w:t>
            </w: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无</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指导</w:t>
            </w:r>
            <w:r>
              <w:rPr>
                <w:rFonts w:hint="eastAsia" w:ascii="仿宋_GB2312" w:hAnsi="仿宋_GB2312" w:eastAsia="仿宋_GB2312" w:cs="仿宋_GB2312"/>
                <w:color w:val="000000"/>
                <w:sz w:val="24"/>
                <w:szCs w:val="24"/>
                <w:lang w:eastAsia="zh-CN"/>
              </w:rPr>
              <w:t>孙家湾</w:t>
            </w:r>
            <w:r>
              <w:rPr>
                <w:rFonts w:hint="eastAsia" w:ascii="仿宋_GB2312" w:hAnsi="仿宋_GB2312" w:eastAsia="仿宋_GB2312" w:cs="仿宋_GB2312"/>
                <w:color w:val="000000"/>
                <w:sz w:val="24"/>
                <w:szCs w:val="24"/>
              </w:rPr>
              <w:t>集体党建和经济社会发展</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成效显著</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成效显著</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无</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无</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打造和谐平安园区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取得成效</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取得成效</w:t>
            </w:r>
          </w:p>
        </w:tc>
        <w:tc>
          <w:tcPr>
            <w:tcW w:w="6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15</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院校满意度</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98%</w:t>
            </w:r>
          </w:p>
        </w:tc>
        <w:tc>
          <w:tcPr>
            <w:tcW w:w="110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98%</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8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6884"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676"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8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w:t>
            </w:r>
            <w:r>
              <w:rPr>
                <w:rFonts w:hint="eastAsia" w:ascii="仿宋_GB2312" w:hAnsi="仿宋_GB2312" w:eastAsia="仿宋_GB2312" w:cs="仿宋_GB2312"/>
                <w:color w:val="000000"/>
                <w:sz w:val="24"/>
                <w:szCs w:val="24"/>
                <w:lang w:val="en-US" w:eastAsia="zh-CN"/>
              </w:rPr>
              <w:t>99.9</w:t>
            </w:r>
          </w:p>
        </w:tc>
        <w:tc>
          <w:tcPr>
            <w:tcW w:w="217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等级：</w:t>
            </w:r>
            <w:r>
              <w:rPr>
                <w:rFonts w:hint="eastAsia" w:ascii="仿宋_GB2312" w:hAnsi="仿宋_GB2312" w:eastAsia="仿宋_GB2312" w:cs="仿宋_GB2312"/>
                <w:color w:val="000000"/>
                <w:kern w:val="0"/>
                <w:sz w:val="24"/>
                <w:szCs w:val="24"/>
                <w:lang w:eastAsia="zh-CN"/>
              </w:rPr>
              <w:t>优</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备注：一个一级项目支出一张表。</w:t>
      </w:r>
    </w:p>
    <w:p>
      <w:pPr>
        <w:widowControl/>
        <w:jc w:val="left"/>
        <w:rPr>
          <w:rFonts w:hint="eastAsia" w:eastAsia="仿宋_GB2312"/>
          <w:sz w:val="24"/>
          <w:szCs w:val="24"/>
          <w:lang w:eastAsia="zh-CN"/>
        </w:rPr>
        <w:sectPr>
          <w:footerReference r:id="rId5" w:type="default"/>
          <w:footerReference r:id="rId6" w:type="even"/>
          <w:pgSz w:w="11906" w:h="16838"/>
          <w:pgMar w:top="2098" w:right="1531" w:bottom="1985" w:left="1531" w:header="851" w:footer="1588" w:gutter="0"/>
          <w:cols w:space="720" w:num="1"/>
          <w:docGrid w:linePitch="312" w:charSpace="0"/>
        </w:sectPr>
      </w:pPr>
      <w:r>
        <w:rPr>
          <w:rFonts w:hint="eastAsia" w:ascii="仿宋_GB2312" w:hAnsi="仿宋_GB2312" w:eastAsia="仿宋_GB2312" w:cs="仿宋_GB2312"/>
          <w:sz w:val="24"/>
          <w:szCs w:val="24"/>
        </w:rPr>
        <w:t>填表人：</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填报日期：</w:t>
      </w:r>
      <w:r>
        <w:rPr>
          <w:rFonts w:hint="default"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联系电话：</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单位负责人签字</w:t>
      </w:r>
      <w:r>
        <w:rPr>
          <w:rFonts w:hint="eastAsia" w:ascii="仿宋_GB2312" w:hAnsi="仿宋_GB2312" w:eastAsia="仿宋_GB2312" w:cs="仿宋_GB2312"/>
          <w:sz w:val="24"/>
          <w:szCs w:val="24"/>
          <w:lang w:eastAsia="zh-CN"/>
        </w:rPr>
        <w:t>：</w:t>
      </w:r>
    </w:p>
    <w:p>
      <w:pPr>
        <w:widowControl/>
        <w:spacing w:line="600" w:lineRule="exact"/>
        <w:jc w:val="left"/>
        <w:rPr>
          <w:rFonts w:hint="eastAsia" w:ascii="黑体" w:hAnsi="黑体" w:eastAsia="黑体"/>
          <w:sz w:val="32"/>
          <w:szCs w:val="32"/>
        </w:rPr>
      </w:pPr>
      <w:r>
        <w:rPr>
          <w:rFonts w:hint="eastAsia" w:ascii="黑体" w:hAnsi="黑体" w:eastAsia="黑体"/>
          <w:sz w:val="32"/>
          <w:szCs w:val="32"/>
        </w:rPr>
        <w:t>附件1-3</w:t>
      </w:r>
    </w:p>
    <w:p>
      <w:pPr>
        <w:widowControl/>
        <w:spacing w:line="600" w:lineRule="exact"/>
        <w:jc w:val="center"/>
        <w:rPr>
          <w:rFonts w:hint="eastAsia" w:ascii="方正大标宋简体" w:eastAsia="方正大标宋简体"/>
          <w:color w:val="000000"/>
          <w:sz w:val="36"/>
          <w:szCs w:val="36"/>
        </w:rPr>
      </w:pPr>
      <w:r>
        <w:rPr>
          <w:rFonts w:hint="eastAsia" w:ascii="方正大标宋简体" w:eastAsia="方正大标宋简体"/>
          <w:color w:val="000000"/>
          <w:sz w:val="36"/>
          <w:szCs w:val="36"/>
        </w:rPr>
        <w:t>2022年度项目支出绩效自评表</w:t>
      </w:r>
    </w:p>
    <w:tbl>
      <w:tblPr>
        <w:tblStyle w:val="4"/>
        <w:tblW w:w="10611" w:type="dxa"/>
        <w:jc w:val="center"/>
        <w:tblLayout w:type="fixed"/>
        <w:tblCellMar>
          <w:top w:w="0" w:type="dxa"/>
          <w:left w:w="108" w:type="dxa"/>
          <w:bottom w:w="0" w:type="dxa"/>
          <w:right w:w="108" w:type="dxa"/>
        </w:tblCellMar>
      </w:tblPr>
      <w:tblGrid>
        <w:gridCol w:w="1080"/>
        <w:gridCol w:w="1080"/>
        <w:gridCol w:w="1080"/>
        <w:gridCol w:w="1224"/>
        <w:gridCol w:w="1313"/>
        <w:gridCol w:w="1373"/>
        <w:gridCol w:w="588"/>
        <w:gridCol w:w="695"/>
        <w:gridCol w:w="217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w:t>
            </w:r>
          </w:p>
          <w:p>
            <w:pPr>
              <w:widowControl/>
              <w:spacing w:line="2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出名称</w:t>
            </w:r>
          </w:p>
        </w:tc>
        <w:tc>
          <w:tcPr>
            <w:tcW w:w="9531" w:type="dxa"/>
            <w:gridSpan w:val="8"/>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产教融合工作经费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主管部门</w:t>
            </w:r>
          </w:p>
        </w:tc>
        <w:tc>
          <w:tcPr>
            <w:tcW w:w="469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73"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实施单位</w:t>
            </w:r>
          </w:p>
        </w:tc>
        <w:tc>
          <w:tcPr>
            <w:tcW w:w="346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株洲职业教育科技园管理办公室</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项目资金</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（万元）</w:t>
            </w: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年初</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全年</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预算数</w:t>
            </w:r>
          </w:p>
        </w:tc>
        <w:tc>
          <w:tcPr>
            <w:tcW w:w="1373"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执行数</w:t>
            </w:r>
          </w:p>
        </w:tc>
        <w:tc>
          <w:tcPr>
            <w:tcW w:w="58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695"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执行率</w:t>
            </w:r>
          </w:p>
        </w:tc>
        <w:tc>
          <w:tcPr>
            <w:tcW w:w="2178"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年度资金总额　</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0</w:t>
            </w:r>
          </w:p>
        </w:tc>
        <w:tc>
          <w:tcPr>
            <w:tcW w:w="1313"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w:t>
            </w:r>
          </w:p>
        </w:tc>
        <w:tc>
          <w:tcPr>
            <w:tcW w:w="1373"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40</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217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其中：当年财政拨款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40</w:t>
            </w:r>
          </w:p>
        </w:tc>
        <w:tc>
          <w:tcPr>
            <w:tcW w:w="1373"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40</w:t>
            </w:r>
          </w:p>
        </w:tc>
        <w:tc>
          <w:tcPr>
            <w:tcW w:w="58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69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ind w:firstLine="720" w:firstLineChars="3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上年结转资金　</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58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69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2160" w:type="dxa"/>
            <w:gridSpan w:val="2"/>
            <w:tcBorders>
              <w:top w:val="nil"/>
              <w:left w:val="nil"/>
              <w:bottom w:val="single" w:color="auto" w:sz="4" w:space="0"/>
              <w:right w:val="single" w:color="auto" w:sz="4" w:space="0"/>
            </w:tcBorders>
            <w:noWrap w:val="0"/>
            <w:vAlign w:val="center"/>
          </w:tcPr>
          <w:p>
            <w:pPr>
              <w:widowControl/>
              <w:ind w:firstLine="720" w:firstLineChars="3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其他资金</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1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37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58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695"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年度总体目标</w:t>
            </w:r>
          </w:p>
        </w:tc>
        <w:tc>
          <w:tcPr>
            <w:tcW w:w="469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预期目标</w:t>
            </w:r>
          </w:p>
        </w:tc>
        <w:tc>
          <w:tcPr>
            <w:tcW w:w="483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469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进一步深化我市产教融合，促进教育链、人才链、产业链邮寄衔接，全面提升职业教育质量，不断增强职业教育服务产业高质量发展的能力，推动株洲市创职业教育发展示范城市，落实湖南“三高四新”战略定位和使命任务，促进职业教育发展。</w:t>
            </w:r>
            <w:r>
              <w:rPr>
                <w:rFonts w:hint="eastAsia" w:ascii="仿宋_GB2312" w:hAnsi="仿宋_GB2312" w:eastAsia="仿宋_GB2312" w:cs="仿宋_GB2312"/>
                <w:color w:val="000000"/>
                <w:sz w:val="24"/>
                <w:szCs w:val="24"/>
              </w:rPr>
              <w:t>　</w:t>
            </w:r>
          </w:p>
        </w:tc>
        <w:tc>
          <w:tcPr>
            <w:tcW w:w="483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7560"/>
              </w:tabs>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eastAsia="仿宋_GB2312" w:cs="Times New Roman"/>
                <w:sz w:val="24"/>
                <w:szCs w:val="24"/>
                <w:lang w:val="en-US" w:eastAsia="zh-CN"/>
              </w:rPr>
              <w:t>2022年职教园管理办</w:t>
            </w:r>
            <w:r>
              <w:rPr>
                <w:rFonts w:hint="eastAsia" w:ascii="仿宋_GB2312" w:hAnsi="Times New Roman" w:eastAsia="仿宋_GB2312" w:cs="Times New Roman"/>
                <w:sz w:val="24"/>
                <w:szCs w:val="24"/>
                <w:lang w:val="en-US" w:eastAsia="zh-CN"/>
              </w:rPr>
              <w:t>积极推进企业大师进校园，校园名师进企业，推进校企联合培养人才</w:t>
            </w:r>
            <w:r>
              <w:rPr>
                <w:rFonts w:hint="eastAsia" w:ascii="仿宋_GB2312" w:eastAsia="仿宋_GB2312" w:cs="Times New Roman"/>
                <w:sz w:val="24"/>
                <w:szCs w:val="24"/>
                <w:lang w:val="en-US" w:eastAsia="zh-CN"/>
              </w:rPr>
              <w:t>，</w:t>
            </w:r>
            <w:r>
              <w:rPr>
                <w:rFonts w:hint="eastAsia" w:ascii="仿宋_GB2312" w:hAnsi="Times New Roman" w:eastAsia="仿宋_GB2312" w:cs="Times New Roman"/>
                <w:sz w:val="24"/>
                <w:szCs w:val="24"/>
                <w:lang w:val="en-US" w:eastAsia="zh-CN"/>
              </w:rPr>
              <w:t>完成2021年度“双师”工作室考核与第四批双师工作室申报工作，评选优秀名师工作室15个、大师工作室10个</w:t>
            </w:r>
            <w:r>
              <w:rPr>
                <w:rFonts w:hint="eastAsia" w:ascii="仿宋_GB2312" w:eastAsia="仿宋_GB2312" w:cs="Times New Roman"/>
                <w:sz w:val="24"/>
                <w:szCs w:val="24"/>
                <w:lang w:val="en-US" w:eastAsia="zh-CN"/>
              </w:rPr>
              <w:t>；积极</w:t>
            </w:r>
            <w:r>
              <w:rPr>
                <w:rFonts w:hint="eastAsia" w:ascii="仿宋_GB2312" w:hAnsi="Times New Roman" w:eastAsia="仿宋_GB2312" w:cs="Times New Roman"/>
                <w:sz w:val="24"/>
                <w:szCs w:val="24"/>
                <w:lang w:val="en-US" w:eastAsia="zh-CN"/>
              </w:rPr>
              <w:t>贯彻落实教育部“职业院校建在园区，专业建在产业链上”的要求，结合我市产教融合以及产业链建设实际，出台《株洲市职业院校产业学院建设与管理办法》和《株洲市职业院校社区学院建设与管理办法》实施意见</w:t>
            </w:r>
            <w:r>
              <w:rPr>
                <w:rFonts w:hint="eastAsia" w:ascii="仿宋_GB2312" w:eastAsia="仿宋_GB2312" w:cs="Times New Roman"/>
                <w:sz w:val="24"/>
                <w:szCs w:val="24"/>
                <w:lang w:val="en-US" w:eastAsia="zh-CN"/>
              </w:rPr>
              <w:t>；</w:t>
            </w:r>
            <w:r>
              <w:rPr>
                <w:rFonts w:hint="eastAsia" w:ascii="仿宋_GB2312" w:hAnsi="Times New Roman" w:eastAsia="仿宋_GB2312" w:cs="Times New Roman"/>
                <w:sz w:val="24"/>
                <w:szCs w:val="24"/>
                <w:lang w:val="en-US" w:eastAsia="zh-CN"/>
              </w:rPr>
              <w:t>完成商业技师学院零售产业学院筹备工作、新增马鞍社区学院，截止目前共有产业学院9个、社区学院11个</w:t>
            </w:r>
            <w:r>
              <w:rPr>
                <w:rFonts w:hint="eastAsia" w:ascii="仿宋_GB2312" w:eastAsia="仿宋_GB2312" w:cs="Times New Roman"/>
                <w:sz w:val="24"/>
                <w:szCs w:val="24"/>
                <w:lang w:val="en-US" w:eastAsia="zh-CN"/>
              </w:rPr>
              <w:t>；</w:t>
            </w:r>
            <w:r>
              <w:rPr>
                <w:rFonts w:hint="eastAsia" w:ascii="仿宋_GB2312" w:hAnsi="Times New Roman" w:eastAsia="仿宋_GB2312" w:cs="Times New Roman"/>
                <w:sz w:val="24"/>
                <w:szCs w:val="24"/>
                <w:lang w:val="en-US" w:eastAsia="zh-CN"/>
              </w:rPr>
              <w:t>联合市工信局开展职教科创城与产业园区联动发展工作，理清科创布局和职教园功能关系，在产业园区布局科创产业制造基地，打造在全国有影响力有品牌的职教科创高地；组织湖南九郎山职教科创城、株洲北斗产业园校企对接活动，搭建北斗产业人才培养校企合作平台。</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绩</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一级指标</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二级指标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三级指标</w:t>
            </w:r>
          </w:p>
        </w:tc>
        <w:tc>
          <w:tcPr>
            <w:tcW w:w="13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年度</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指标值</w:t>
            </w: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实际</w:t>
            </w:r>
          </w:p>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完成值</w:t>
            </w:r>
          </w:p>
        </w:tc>
        <w:tc>
          <w:tcPr>
            <w:tcW w:w="5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分值</w:t>
            </w:r>
          </w:p>
        </w:tc>
        <w:tc>
          <w:tcPr>
            <w:tcW w:w="6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得分</w:t>
            </w:r>
          </w:p>
        </w:tc>
        <w:tc>
          <w:tcPr>
            <w:tcW w:w="2178"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产出指标</w:t>
            </w:r>
          </w:p>
          <w:p>
            <w:pPr>
              <w:widowControl/>
              <w:jc w:val="center"/>
              <w:rPr>
                <w:rFonts w:hint="eastAsia" w:ascii="仿宋_GB2312" w:hAnsi="仿宋_GB2312" w:eastAsia="仿宋_GB2312" w:cs="仿宋_GB2312"/>
                <w:color w:val="000000"/>
                <w:sz w:val="24"/>
                <w:szCs w:val="24"/>
              </w:rPr>
            </w:pP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数量指标</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新建产业学院</w:t>
            </w:r>
          </w:p>
        </w:tc>
        <w:tc>
          <w:tcPr>
            <w:tcW w:w="1313"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新增1-2所</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1所</w:t>
            </w:r>
          </w:p>
        </w:tc>
        <w:tc>
          <w:tcPr>
            <w:tcW w:w="58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质量指标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双师工作室考核验收</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验收合格率</w:t>
            </w:r>
            <w:r>
              <w:rPr>
                <w:rFonts w:hint="eastAsia" w:ascii="仿宋_GB2312" w:hAnsi="仿宋_GB2312" w:eastAsia="仿宋_GB2312" w:cs="仿宋_GB2312"/>
                <w:color w:val="000000"/>
                <w:sz w:val="24"/>
                <w:szCs w:val="24"/>
                <w:lang w:val="en-US" w:eastAsia="zh-CN"/>
              </w:rPr>
              <w:t>≥95%</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≥95%</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时效指标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各项工作任务完成时间</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12月底之前</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10月</w:t>
            </w:r>
          </w:p>
        </w:tc>
        <w:tc>
          <w:tcPr>
            <w:tcW w:w="58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nil"/>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成本指标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双师工作室项目经费</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5万元/个</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5万元/个</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1080" w:type="dxa"/>
            <w:vMerge w:val="continue"/>
            <w:tcBorders>
              <w:left w:val="nil"/>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院校师生的培训会招聘会经费</w:t>
            </w:r>
          </w:p>
        </w:tc>
        <w:tc>
          <w:tcPr>
            <w:tcW w:w="131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4万元/次</w:t>
            </w: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4万元/次</w:t>
            </w:r>
          </w:p>
        </w:tc>
        <w:tc>
          <w:tcPr>
            <w:tcW w:w="58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c>
          <w:tcPr>
            <w:tcW w:w="1080"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园区食品安全事故发生率</w:t>
            </w:r>
          </w:p>
        </w:tc>
        <w:tc>
          <w:tcPr>
            <w:tcW w:w="131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13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0</w:t>
            </w:r>
          </w:p>
        </w:tc>
        <w:tc>
          <w:tcPr>
            <w:tcW w:w="58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效益指标</w:t>
            </w: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（30分）</w:t>
            </w: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技术成果转化效能</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≥80%</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≥80%</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打造技能竞赛基地</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成效显著</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成效显著</w:t>
            </w:r>
          </w:p>
        </w:tc>
        <w:tc>
          <w:tcPr>
            <w:tcW w:w="588"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20</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20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vMerge w:val="continue"/>
            <w:tcBorders>
              <w:top w:val="single" w:color="auto" w:sz="4" w:space="0"/>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生态效</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益指标</w:t>
            </w:r>
          </w:p>
        </w:tc>
        <w:tc>
          <w:tcPr>
            <w:tcW w:w="122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职教园分布式能源升级检修率</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≥80%</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≥80%</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695" w:type="dxa"/>
            <w:tcBorders>
              <w:top w:val="nil"/>
              <w:left w:val="nil"/>
              <w:bottom w:val="single" w:color="auto" w:sz="4" w:space="0"/>
              <w:right w:val="single" w:color="auto" w:sz="4" w:space="0"/>
            </w:tcBorders>
            <w:noWrap w:val="0"/>
            <w:vAlign w:val="center"/>
          </w:tcPr>
          <w:p>
            <w:pPr>
              <w:widowControl/>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jc w:val="left"/>
              <w:rPr>
                <w:rFonts w:hint="eastAsia" w:ascii="仿宋_GB2312" w:hAnsi="仿宋_GB2312" w:eastAsia="仿宋_GB2312" w:cs="仿宋_GB2312"/>
                <w:color w:val="000000"/>
                <w:sz w:val="24"/>
                <w:szCs w:val="24"/>
              </w:rPr>
            </w:pP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满意度</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指标</w:t>
            </w:r>
          </w:p>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（10分）</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服务对象满意度指标</w:t>
            </w:r>
          </w:p>
        </w:tc>
        <w:tc>
          <w:tcPr>
            <w:tcW w:w="122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院校满意度</w:t>
            </w:r>
          </w:p>
        </w:tc>
        <w:tc>
          <w:tcPr>
            <w:tcW w:w="131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137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6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2178"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w:t>
            </w:r>
          </w:p>
        </w:tc>
      </w:tr>
      <w:tr>
        <w:tblPrEx>
          <w:tblCellMar>
            <w:top w:w="0" w:type="dxa"/>
            <w:left w:w="108" w:type="dxa"/>
            <w:bottom w:w="0" w:type="dxa"/>
            <w:right w:w="108" w:type="dxa"/>
          </w:tblCellMar>
        </w:tblPrEx>
        <w:trPr>
          <w:jc w:val="center"/>
        </w:trPr>
        <w:tc>
          <w:tcPr>
            <w:tcW w:w="7150"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总分</w:t>
            </w:r>
          </w:p>
        </w:tc>
        <w:tc>
          <w:tcPr>
            <w:tcW w:w="58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w:t>
            </w:r>
          </w:p>
        </w:tc>
        <w:tc>
          <w:tcPr>
            <w:tcW w:w="695" w:type="dxa"/>
            <w:tcBorders>
              <w:top w:val="nil"/>
              <w:left w:val="nil"/>
              <w:bottom w:val="single" w:color="auto" w:sz="4" w:space="0"/>
              <w:right w:val="single" w:color="auto" w:sz="4" w:space="0"/>
            </w:tcBorders>
            <w:noWrap w:val="0"/>
            <w:vAlign w:val="center"/>
          </w:tcPr>
          <w:p>
            <w:pPr>
              <w:widowControl/>
              <w:jc w:val="lef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2178"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等级：</w:t>
            </w:r>
            <w:r>
              <w:rPr>
                <w:rFonts w:hint="eastAsia" w:ascii="仿宋_GB2312" w:hAnsi="仿宋_GB2312" w:eastAsia="仿宋_GB2312" w:cs="仿宋_GB2312"/>
                <w:color w:val="000000"/>
                <w:kern w:val="0"/>
                <w:sz w:val="24"/>
                <w:szCs w:val="24"/>
                <w:lang w:eastAsia="zh-CN"/>
              </w:rPr>
              <w:t>优</w:t>
            </w:r>
          </w:p>
        </w:tc>
      </w:tr>
    </w:tbl>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备注：一个一级项目支出一张表。</w:t>
      </w:r>
    </w:p>
    <w:p>
      <w:pPr>
        <w:widowControl/>
        <w:jc w:val="left"/>
        <w:rPr>
          <w:rFonts w:hint="eastAsia" w:eastAsia="仿宋_GB2312"/>
          <w:sz w:val="24"/>
          <w:szCs w:val="24"/>
          <w:lang w:eastAsia="zh-CN"/>
        </w:rPr>
        <w:sectPr>
          <w:footerReference r:id="rId7" w:type="default"/>
          <w:footerReference r:id="rId8" w:type="even"/>
          <w:pgSz w:w="11906" w:h="16838"/>
          <w:pgMar w:top="2098" w:right="1531" w:bottom="1985" w:left="1531" w:header="851" w:footer="1588" w:gutter="0"/>
          <w:cols w:space="720" w:num="1"/>
          <w:docGrid w:linePitch="312" w:charSpace="0"/>
        </w:sectPr>
      </w:pPr>
      <w:r>
        <w:rPr>
          <w:rFonts w:hint="eastAsia" w:ascii="仿宋_GB2312" w:hAnsi="仿宋_GB2312" w:eastAsia="仿宋_GB2312" w:cs="仿宋_GB2312"/>
          <w:sz w:val="24"/>
          <w:szCs w:val="24"/>
        </w:rPr>
        <w:t>填表人：</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填报日期：</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联系电话：</w:t>
      </w:r>
      <w:r>
        <w:rPr>
          <w:rFonts w:hint="default" w:ascii="仿宋_GB2312" w:hAnsi="仿宋_GB2312" w:eastAsia="仿宋_GB2312" w:cs="仿宋_GB2312"/>
          <w:sz w:val="24"/>
          <w:szCs w:val="24"/>
          <w:lang w:val="en-US"/>
        </w:rPr>
        <w:t xml:space="preserve">          </w:t>
      </w:r>
      <w:r>
        <w:rPr>
          <w:rFonts w:hint="eastAsia" w:ascii="仿宋_GB2312" w:hAnsi="仿宋_GB2312" w:eastAsia="仿宋_GB2312" w:cs="仿宋_GB2312"/>
          <w:sz w:val="24"/>
          <w:szCs w:val="24"/>
        </w:rPr>
        <w:t xml:space="preserve"> 单位负责人签字</w:t>
      </w:r>
      <w:r>
        <w:rPr>
          <w:rFonts w:hint="eastAsia" w:ascii="仿宋_GB2312" w:hAnsi="仿宋_GB2312" w:eastAsia="仿宋_GB2312" w:cs="仿宋_GB2312"/>
          <w:sz w:val="24"/>
          <w:szCs w:val="24"/>
          <w:lang w:eastAsia="zh-CN"/>
        </w:rPr>
        <w:t>：</w:t>
      </w:r>
    </w:p>
    <w:p>
      <w:pPr>
        <w:tabs>
          <w:tab w:val="left" w:pos="7560"/>
        </w:tabs>
        <w:adjustRightInd w:val="0"/>
        <w:snapToGrid w:val="0"/>
        <w:spacing w:line="560" w:lineRule="exact"/>
        <w:rPr>
          <w:rFonts w:hint="eastAsia" w:eastAsia="仿宋_GB2312"/>
          <w:sz w:val="24"/>
          <w:szCs w:val="24"/>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sz w:val="28"/>
        <w:szCs w:val="28"/>
      </w:rPr>
    </w:pPr>
    <w:r>
      <w:rPr>
        <w:rStyle w:val="6"/>
        <w:rFonts w:hint="eastAsia" w:ascii="宋体"/>
        <w:color w:val="FFFFFF"/>
        <w:sz w:val="28"/>
        <w:szCs w:val="28"/>
      </w:rPr>
      <w:t>—</w:t>
    </w:r>
    <w:r>
      <w:rPr>
        <w:rStyle w:val="6"/>
        <w:rFonts w:hint="eastAsia" w:ascii="宋体"/>
        <w:sz w:val="28"/>
        <w:szCs w:val="28"/>
      </w:rPr>
      <w:t xml:space="preserve">— </w:t>
    </w:r>
    <w:r>
      <w:rPr>
        <w:rStyle w:val="6"/>
        <w:rFonts w:hint="eastAsia" w:ascii="宋体"/>
        <w:sz w:val="28"/>
        <w:szCs w:val="28"/>
      </w:rPr>
      <w:fldChar w:fldCharType="begin"/>
    </w:r>
    <w:r>
      <w:rPr>
        <w:rStyle w:val="6"/>
        <w:rFonts w:hint="eastAsia" w:ascii="宋体"/>
        <w:sz w:val="28"/>
        <w:szCs w:val="28"/>
      </w:rPr>
      <w:instrText xml:space="preserve">PAGE  </w:instrText>
    </w:r>
    <w:r>
      <w:rPr>
        <w:rStyle w:val="6"/>
        <w:rFonts w:hint="eastAsia" w:ascii="宋体"/>
        <w:sz w:val="28"/>
        <w:szCs w:val="28"/>
      </w:rPr>
      <w:fldChar w:fldCharType="separate"/>
    </w:r>
    <w:r>
      <w:rPr>
        <w:rStyle w:val="6"/>
        <w:rFonts w:ascii="宋体"/>
        <w:sz w:val="28"/>
        <w:szCs w:val="28"/>
      </w:rPr>
      <w:t>13</w:t>
    </w:r>
    <w:r>
      <w:rPr>
        <w:rStyle w:val="6"/>
        <w:rFonts w:hint="eastAsia" w:ascii="宋体"/>
        <w:sz w:val="28"/>
        <w:szCs w:val="28"/>
      </w:rPr>
      <w:fldChar w:fldCharType="end"/>
    </w:r>
    <w:r>
      <w:rPr>
        <w:rStyle w:val="6"/>
        <w:rFonts w:hint="eastAsia" w:ascii="宋体"/>
        <w:sz w:val="28"/>
        <w:szCs w:val="28"/>
      </w:rPr>
      <w:t xml:space="preserve"> —</w:t>
    </w:r>
    <w:r>
      <w:rPr>
        <w:rStyle w:val="6"/>
        <w:rFonts w:hint="eastAsia" w:ascii="宋体"/>
        <w:color w:val="FFFFFF"/>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xml:space="preserve"> </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sz w:val="28"/>
        <w:szCs w:val="28"/>
      </w:rPr>
    </w:pPr>
    <w:r>
      <w:rPr>
        <w:rStyle w:val="6"/>
        <w:rFonts w:hint="eastAsia" w:ascii="宋体"/>
        <w:color w:val="FFFFFF"/>
        <w:sz w:val="28"/>
        <w:szCs w:val="28"/>
      </w:rPr>
      <w:t>—</w:t>
    </w:r>
    <w:r>
      <w:rPr>
        <w:rStyle w:val="6"/>
        <w:rFonts w:hint="eastAsia" w:ascii="宋体"/>
        <w:sz w:val="28"/>
        <w:szCs w:val="28"/>
      </w:rPr>
      <w:t xml:space="preserve">— </w:t>
    </w:r>
    <w:r>
      <w:rPr>
        <w:rStyle w:val="6"/>
        <w:rFonts w:hint="eastAsia" w:ascii="宋体"/>
        <w:sz w:val="28"/>
        <w:szCs w:val="28"/>
      </w:rPr>
      <w:fldChar w:fldCharType="begin"/>
    </w:r>
    <w:r>
      <w:rPr>
        <w:rStyle w:val="6"/>
        <w:rFonts w:hint="eastAsia" w:ascii="宋体"/>
        <w:sz w:val="28"/>
        <w:szCs w:val="28"/>
      </w:rPr>
      <w:instrText xml:space="preserve">PAGE  </w:instrText>
    </w:r>
    <w:r>
      <w:rPr>
        <w:rStyle w:val="6"/>
        <w:rFonts w:hint="eastAsia" w:ascii="宋体"/>
        <w:sz w:val="28"/>
        <w:szCs w:val="28"/>
      </w:rPr>
      <w:fldChar w:fldCharType="separate"/>
    </w:r>
    <w:r>
      <w:rPr>
        <w:rStyle w:val="6"/>
        <w:rFonts w:ascii="宋体"/>
        <w:sz w:val="28"/>
        <w:szCs w:val="28"/>
      </w:rPr>
      <w:t>13</w:t>
    </w:r>
    <w:r>
      <w:rPr>
        <w:rStyle w:val="6"/>
        <w:rFonts w:hint="eastAsia" w:ascii="宋体"/>
        <w:sz w:val="28"/>
        <w:szCs w:val="28"/>
      </w:rPr>
      <w:fldChar w:fldCharType="end"/>
    </w:r>
    <w:r>
      <w:rPr>
        <w:rStyle w:val="6"/>
        <w:rFonts w:hint="eastAsia" w:ascii="宋体"/>
        <w:sz w:val="28"/>
        <w:szCs w:val="28"/>
      </w:rPr>
      <w:t xml:space="preserve"> —</w:t>
    </w:r>
    <w:r>
      <w:rPr>
        <w:rStyle w:val="6"/>
        <w:rFonts w:hint="eastAsia" w:ascii="宋体"/>
        <w:color w:val="FFFFFF"/>
        <w:sz w:val="28"/>
        <w:szCs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xml:space="preserve"> </w:t>
    </w:r>
    <w:r>
      <w:rPr>
        <w:rStyle w:val="6"/>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sz w:val="28"/>
        <w:szCs w:val="28"/>
      </w:rPr>
    </w:pPr>
    <w:r>
      <w:rPr>
        <w:rStyle w:val="6"/>
        <w:rFonts w:hint="eastAsia" w:ascii="宋体"/>
        <w:color w:val="FFFFFF"/>
        <w:sz w:val="28"/>
        <w:szCs w:val="28"/>
      </w:rPr>
      <w:t>—</w:t>
    </w:r>
    <w:r>
      <w:rPr>
        <w:rStyle w:val="6"/>
        <w:rFonts w:hint="eastAsia" w:ascii="宋体"/>
        <w:sz w:val="28"/>
        <w:szCs w:val="28"/>
      </w:rPr>
      <w:t xml:space="preserve">— </w:t>
    </w:r>
    <w:r>
      <w:rPr>
        <w:rStyle w:val="6"/>
        <w:rFonts w:hint="eastAsia" w:ascii="宋体"/>
        <w:sz w:val="28"/>
        <w:szCs w:val="28"/>
      </w:rPr>
      <w:fldChar w:fldCharType="begin"/>
    </w:r>
    <w:r>
      <w:rPr>
        <w:rStyle w:val="6"/>
        <w:rFonts w:hint="eastAsia" w:ascii="宋体"/>
        <w:sz w:val="28"/>
        <w:szCs w:val="28"/>
      </w:rPr>
      <w:instrText xml:space="preserve">PAGE  </w:instrText>
    </w:r>
    <w:r>
      <w:rPr>
        <w:rStyle w:val="6"/>
        <w:rFonts w:hint="eastAsia" w:ascii="宋体"/>
        <w:sz w:val="28"/>
        <w:szCs w:val="28"/>
      </w:rPr>
      <w:fldChar w:fldCharType="separate"/>
    </w:r>
    <w:r>
      <w:rPr>
        <w:rStyle w:val="6"/>
        <w:rFonts w:ascii="宋体"/>
        <w:sz w:val="28"/>
        <w:szCs w:val="28"/>
      </w:rPr>
      <w:t>13</w:t>
    </w:r>
    <w:r>
      <w:rPr>
        <w:rStyle w:val="6"/>
        <w:rFonts w:hint="eastAsia" w:ascii="宋体"/>
        <w:sz w:val="28"/>
        <w:szCs w:val="28"/>
      </w:rPr>
      <w:fldChar w:fldCharType="end"/>
    </w:r>
    <w:r>
      <w:rPr>
        <w:rStyle w:val="6"/>
        <w:rFonts w:hint="eastAsia" w:ascii="宋体"/>
        <w:sz w:val="28"/>
        <w:szCs w:val="28"/>
      </w:rPr>
      <w:t xml:space="preserve"> —</w:t>
    </w:r>
    <w:r>
      <w:rPr>
        <w:rStyle w:val="6"/>
        <w:rFonts w:hint="eastAsia" w:ascii="宋体"/>
        <w:color w:val="FFFFFF"/>
        <w:sz w:val="28"/>
        <w:szCs w:val="28"/>
      </w:rPr>
      <w:t>—</w:t>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xml:space="preserve"> </w:t>
    </w:r>
    <w:r>
      <w:rPr>
        <w:rStyle w:val="6"/>
      </w:rPr>
      <w:fldChar w:fldCharType="end"/>
    </w:r>
  </w:p>
  <w:p>
    <w:pPr>
      <w:pStyle w:val="2"/>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sz w:val="28"/>
        <w:szCs w:val="28"/>
      </w:rPr>
    </w:pPr>
    <w:r>
      <w:rPr>
        <w:rStyle w:val="6"/>
        <w:rFonts w:hint="eastAsia" w:ascii="宋体"/>
        <w:color w:val="FFFFFF"/>
        <w:sz w:val="28"/>
        <w:szCs w:val="28"/>
      </w:rPr>
      <w:t>—</w:t>
    </w:r>
    <w:r>
      <w:rPr>
        <w:rStyle w:val="6"/>
        <w:rFonts w:hint="eastAsia" w:ascii="宋体"/>
        <w:sz w:val="28"/>
        <w:szCs w:val="28"/>
      </w:rPr>
      <w:t xml:space="preserve">— </w:t>
    </w:r>
    <w:r>
      <w:rPr>
        <w:rStyle w:val="6"/>
        <w:rFonts w:hint="eastAsia" w:ascii="宋体"/>
        <w:sz w:val="28"/>
        <w:szCs w:val="28"/>
      </w:rPr>
      <w:fldChar w:fldCharType="begin"/>
    </w:r>
    <w:r>
      <w:rPr>
        <w:rStyle w:val="6"/>
        <w:rFonts w:hint="eastAsia" w:ascii="宋体"/>
        <w:sz w:val="28"/>
        <w:szCs w:val="28"/>
      </w:rPr>
      <w:instrText xml:space="preserve">PAGE  </w:instrText>
    </w:r>
    <w:r>
      <w:rPr>
        <w:rStyle w:val="6"/>
        <w:rFonts w:hint="eastAsia" w:ascii="宋体"/>
        <w:sz w:val="28"/>
        <w:szCs w:val="28"/>
      </w:rPr>
      <w:fldChar w:fldCharType="separate"/>
    </w:r>
    <w:r>
      <w:rPr>
        <w:rStyle w:val="6"/>
        <w:rFonts w:ascii="宋体"/>
        <w:sz w:val="28"/>
        <w:szCs w:val="28"/>
      </w:rPr>
      <w:t>13</w:t>
    </w:r>
    <w:r>
      <w:rPr>
        <w:rStyle w:val="6"/>
        <w:rFonts w:hint="eastAsia" w:ascii="宋体"/>
        <w:sz w:val="28"/>
        <w:szCs w:val="28"/>
      </w:rPr>
      <w:fldChar w:fldCharType="end"/>
    </w:r>
    <w:r>
      <w:rPr>
        <w:rStyle w:val="6"/>
        <w:rFonts w:hint="eastAsia" w:ascii="宋体"/>
        <w:sz w:val="28"/>
        <w:szCs w:val="28"/>
      </w:rPr>
      <w:t xml:space="preserve"> —</w:t>
    </w:r>
    <w:r>
      <w:rPr>
        <w:rStyle w:val="6"/>
        <w:rFonts w:hint="eastAsia" w:ascii="宋体"/>
        <w:color w:val="FFFFFF"/>
        <w:sz w:val="28"/>
        <w:szCs w:val="28"/>
      </w:rPr>
      <w:t>—</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FC152"/>
    <w:multiLevelType w:val="singleLevel"/>
    <w:tmpl w:val="F77FC152"/>
    <w:lvl w:ilvl="0" w:tentative="0">
      <w:start w:val="2"/>
      <w:numFmt w:val="chineseCounting"/>
      <w:suff w:val="nothing"/>
      <w:lvlText w:val="（%1）"/>
      <w:lvlJc w:val="left"/>
      <w:rPr>
        <w:rFonts w:hint="eastAsia"/>
      </w:rPr>
    </w:lvl>
  </w:abstractNum>
  <w:abstractNum w:abstractNumId="1">
    <w:nsid w:val="FBCCB639"/>
    <w:multiLevelType w:val="singleLevel"/>
    <w:tmpl w:val="FBCCB639"/>
    <w:lvl w:ilvl="0" w:tentative="0">
      <w:start w:val="8"/>
      <w:numFmt w:val="chineseCounting"/>
      <w:suff w:val="nothing"/>
      <w:lvlText w:val="%1、"/>
      <w:lvlJc w:val="left"/>
      <w:rPr>
        <w:rFonts w:hint="eastAsia"/>
      </w:rPr>
    </w:lvl>
  </w:abstractNum>
  <w:abstractNum w:abstractNumId="2">
    <w:nsid w:val="FD6FA021"/>
    <w:multiLevelType w:val="singleLevel"/>
    <w:tmpl w:val="FD6FA021"/>
    <w:lvl w:ilvl="0" w:tentative="0">
      <w:start w:val="3"/>
      <w:numFmt w:val="chineseCounting"/>
      <w:suff w:val="nothing"/>
      <w:lvlText w:val="%1、"/>
      <w:lvlJc w:val="left"/>
      <w:rPr>
        <w:rFonts w:hint="eastAsia"/>
      </w:rPr>
    </w:lvl>
  </w:abstractNum>
  <w:abstractNum w:abstractNumId="3">
    <w:nsid w:val="7BCF775C"/>
    <w:multiLevelType w:val="singleLevel"/>
    <w:tmpl w:val="7BCF775C"/>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340E1"/>
    <w:rsid w:val="17EDF974"/>
    <w:rsid w:val="19BF483B"/>
    <w:rsid w:val="1B7B0C34"/>
    <w:rsid w:val="1DE7E15F"/>
    <w:rsid w:val="1FF6C920"/>
    <w:rsid w:val="1FFF018A"/>
    <w:rsid w:val="1FFFF2D3"/>
    <w:rsid w:val="2ADF4F8A"/>
    <w:rsid w:val="2AF9623B"/>
    <w:rsid w:val="2F3F696B"/>
    <w:rsid w:val="35D62244"/>
    <w:rsid w:val="365ECE72"/>
    <w:rsid w:val="3765699D"/>
    <w:rsid w:val="37FF2011"/>
    <w:rsid w:val="3A2FE528"/>
    <w:rsid w:val="3AEF2D33"/>
    <w:rsid w:val="3AFE3C40"/>
    <w:rsid w:val="3B377938"/>
    <w:rsid w:val="3B7D5033"/>
    <w:rsid w:val="3B7F2D6B"/>
    <w:rsid w:val="3BF7BC56"/>
    <w:rsid w:val="3BFC3434"/>
    <w:rsid w:val="3C69E25F"/>
    <w:rsid w:val="3D19B2BD"/>
    <w:rsid w:val="3DBF2347"/>
    <w:rsid w:val="3DF66212"/>
    <w:rsid w:val="3EFB22DD"/>
    <w:rsid w:val="3F666ED3"/>
    <w:rsid w:val="3F6FF65F"/>
    <w:rsid w:val="3F7FBC98"/>
    <w:rsid w:val="3F8FAAD0"/>
    <w:rsid w:val="3FCA84A4"/>
    <w:rsid w:val="3FED26A2"/>
    <w:rsid w:val="3FEF3354"/>
    <w:rsid w:val="3FF70D09"/>
    <w:rsid w:val="3FFE4F21"/>
    <w:rsid w:val="42FF1B9E"/>
    <w:rsid w:val="47FB7893"/>
    <w:rsid w:val="4BF5D1D0"/>
    <w:rsid w:val="4D3F05BA"/>
    <w:rsid w:val="4D77FB67"/>
    <w:rsid w:val="4F2BB317"/>
    <w:rsid w:val="4F7C4F4A"/>
    <w:rsid w:val="4FEBFC35"/>
    <w:rsid w:val="52AD3C64"/>
    <w:rsid w:val="52F1C2B8"/>
    <w:rsid w:val="54791810"/>
    <w:rsid w:val="5ABE5630"/>
    <w:rsid w:val="5ACE5C07"/>
    <w:rsid w:val="5AFEAB9E"/>
    <w:rsid w:val="5B6F77D7"/>
    <w:rsid w:val="5BF31A84"/>
    <w:rsid w:val="5CE2A45A"/>
    <w:rsid w:val="5DE521BD"/>
    <w:rsid w:val="5EFC3FA0"/>
    <w:rsid w:val="5F5E34CB"/>
    <w:rsid w:val="5FB92A07"/>
    <w:rsid w:val="5FBD38D6"/>
    <w:rsid w:val="5FBDFCD2"/>
    <w:rsid w:val="5FBE8513"/>
    <w:rsid w:val="5FEBC561"/>
    <w:rsid w:val="5FF322C6"/>
    <w:rsid w:val="5FFB0935"/>
    <w:rsid w:val="5FFD0FA2"/>
    <w:rsid w:val="65F08266"/>
    <w:rsid w:val="66BD72BD"/>
    <w:rsid w:val="66ED972E"/>
    <w:rsid w:val="67CF597D"/>
    <w:rsid w:val="69FE138E"/>
    <w:rsid w:val="6A3C5DE6"/>
    <w:rsid w:val="6BBE98D3"/>
    <w:rsid w:val="6BFE65B5"/>
    <w:rsid w:val="6BFF4670"/>
    <w:rsid w:val="6DADCAE4"/>
    <w:rsid w:val="6DAE134E"/>
    <w:rsid w:val="6DFFA32D"/>
    <w:rsid w:val="6E3BF51C"/>
    <w:rsid w:val="6E7EE4FA"/>
    <w:rsid w:val="6EB36A61"/>
    <w:rsid w:val="6EDA747F"/>
    <w:rsid w:val="6EDF0ABB"/>
    <w:rsid w:val="6EF2DDB7"/>
    <w:rsid w:val="6EFA136A"/>
    <w:rsid w:val="6EFF84BC"/>
    <w:rsid w:val="6EFFD5A3"/>
    <w:rsid w:val="6EFFEC04"/>
    <w:rsid w:val="6F9AC8A2"/>
    <w:rsid w:val="6FD6A7D2"/>
    <w:rsid w:val="6FD7E69D"/>
    <w:rsid w:val="6FDF7A3F"/>
    <w:rsid w:val="6FF77963"/>
    <w:rsid w:val="6FFF4502"/>
    <w:rsid w:val="71B933A0"/>
    <w:rsid w:val="71FD5C05"/>
    <w:rsid w:val="74FF3541"/>
    <w:rsid w:val="75333642"/>
    <w:rsid w:val="75A75437"/>
    <w:rsid w:val="75E58DD5"/>
    <w:rsid w:val="767F7902"/>
    <w:rsid w:val="76CF54F4"/>
    <w:rsid w:val="76DAAA64"/>
    <w:rsid w:val="76DF8973"/>
    <w:rsid w:val="7737DA8C"/>
    <w:rsid w:val="776903C6"/>
    <w:rsid w:val="777D0FA5"/>
    <w:rsid w:val="777E7794"/>
    <w:rsid w:val="777FF198"/>
    <w:rsid w:val="77E626A4"/>
    <w:rsid w:val="77F79FD1"/>
    <w:rsid w:val="77FFB155"/>
    <w:rsid w:val="79FEFD63"/>
    <w:rsid w:val="79FF0773"/>
    <w:rsid w:val="7AFFD2A5"/>
    <w:rsid w:val="7BBE3BAB"/>
    <w:rsid w:val="7BC3A475"/>
    <w:rsid w:val="7BED725B"/>
    <w:rsid w:val="7BF6A7B9"/>
    <w:rsid w:val="7BF74CC8"/>
    <w:rsid w:val="7CEE6E8C"/>
    <w:rsid w:val="7CF19B96"/>
    <w:rsid w:val="7D77CF28"/>
    <w:rsid w:val="7DB6B4F7"/>
    <w:rsid w:val="7DBF6372"/>
    <w:rsid w:val="7DFF25C9"/>
    <w:rsid w:val="7E3E403C"/>
    <w:rsid w:val="7E5CE9E1"/>
    <w:rsid w:val="7E7F0B9D"/>
    <w:rsid w:val="7E817FB3"/>
    <w:rsid w:val="7E979A58"/>
    <w:rsid w:val="7EA57D1A"/>
    <w:rsid w:val="7EBBCB01"/>
    <w:rsid w:val="7EDFC90C"/>
    <w:rsid w:val="7EEA5EF7"/>
    <w:rsid w:val="7EF72614"/>
    <w:rsid w:val="7EF7D834"/>
    <w:rsid w:val="7EFB077D"/>
    <w:rsid w:val="7F1D62FA"/>
    <w:rsid w:val="7F37726B"/>
    <w:rsid w:val="7F637750"/>
    <w:rsid w:val="7F774BB6"/>
    <w:rsid w:val="7F7D8A3B"/>
    <w:rsid w:val="7FB76F3C"/>
    <w:rsid w:val="7FBFCB55"/>
    <w:rsid w:val="7FD71378"/>
    <w:rsid w:val="7FDB0AF0"/>
    <w:rsid w:val="7FEEA3B3"/>
    <w:rsid w:val="7FEF4EC5"/>
    <w:rsid w:val="7FF50ED1"/>
    <w:rsid w:val="7FFA7FC1"/>
    <w:rsid w:val="7FFBB479"/>
    <w:rsid w:val="7FFD7D7B"/>
    <w:rsid w:val="7FFFF7E8"/>
    <w:rsid w:val="8875DB1F"/>
    <w:rsid w:val="8F774363"/>
    <w:rsid w:val="8FD5422E"/>
    <w:rsid w:val="9BFE15C5"/>
    <w:rsid w:val="9C7EE375"/>
    <w:rsid w:val="9EED5419"/>
    <w:rsid w:val="9F7D92CF"/>
    <w:rsid w:val="9FF7F75A"/>
    <w:rsid w:val="9FFDC5CE"/>
    <w:rsid w:val="A2FF1C69"/>
    <w:rsid w:val="A2FF749A"/>
    <w:rsid w:val="A39F98D2"/>
    <w:rsid w:val="A6EF05C8"/>
    <w:rsid w:val="A7DFE52E"/>
    <w:rsid w:val="AB9DBFB1"/>
    <w:rsid w:val="ACA770A1"/>
    <w:rsid w:val="ACFB5D4E"/>
    <w:rsid w:val="AE7FDB39"/>
    <w:rsid w:val="AFF56952"/>
    <w:rsid w:val="B5FF2155"/>
    <w:rsid w:val="B6E30513"/>
    <w:rsid w:val="B6FFCF0F"/>
    <w:rsid w:val="B7B8FA2A"/>
    <w:rsid w:val="B7CBC729"/>
    <w:rsid w:val="B7CDD5DC"/>
    <w:rsid w:val="B7CF7489"/>
    <w:rsid w:val="B7EFDD1A"/>
    <w:rsid w:val="B7FF5D04"/>
    <w:rsid w:val="B8E4EECF"/>
    <w:rsid w:val="BB77369C"/>
    <w:rsid w:val="BB7B9728"/>
    <w:rsid w:val="BBEF134A"/>
    <w:rsid w:val="BDF53F36"/>
    <w:rsid w:val="BEDC246B"/>
    <w:rsid w:val="BEFB7C24"/>
    <w:rsid w:val="BFDA8FC8"/>
    <w:rsid w:val="BFEF255E"/>
    <w:rsid w:val="BFFD4E6E"/>
    <w:rsid w:val="BFFF382B"/>
    <w:rsid w:val="BFFFCB17"/>
    <w:rsid w:val="C7BFA272"/>
    <w:rsid w:val="CD769B0D"/>
    <w:rsid w:val="CDB9D384"/>
    <w:rsid w:val="CDBFCC43"/>
    <w:rsid w:val="CE7F8867"/>
    <w:rsid w:val="CEEDF9A0"/>
    <w:rsid w:val="CF3F9605"/>
    <w:rsid w:val="CFD1D455"/>
    <w:rsid w:val="D2878EC7"/>
    <w:rsid w:val="D5FD9E77"/>
    <w:rsid w:val="D6DFF67B"/>
    <w:rsid w:val="D6F579BC"/>
    <w:rsid w:val="DBFD5713"/>
    <w:rsid w:val="DD7E2911"/>
    <w:rsid w:val="DDBBB3D4"/>
    <w:rsid w:val="DEB9E41D"/>
    <w:rsid w:val="DEFFD9AF"/>
    <w:rsid w:val="DF7B8C5A"/>
    <w:rsid w:val="DF7D1E48"/>
    <w:rsid w:val="DFFBCE40"/>
    <w:rsid w:val="DFFF21AA"/>
    <w:rsid w:val="E0FFDF4E"/>
    <w:rsid w:val="E29D7610"/>
    <w:rsid w:val="E4EF74CB"/>
    <w:rsid w:val="E6AD7AF2"/>
    <w:rsid w:val="E6DFD076"/>
    <w:rsid w:val="E77C8FBD"/>
    <w:rsid w:val="E77F2297"/>
    <w:rsid w:val="E7FBA348"/>
    <w:rsid w:val="E7FE00DE"/>
    <w:rsid w:val="EAF53D69"/>
    <w:rsid w:val="EB7E570B"/>
    <w:rsid w:val="EBFF95C7"/>
    <w:rsid w:val="EC696303"/>
    <w:rsid w:val="EC9F4673"/>
    <w:rsid w:val="ECBFECA4"/>
    <w:rsid w:val="ECE5BDEB"/>
    <w:rsid w:val="ED73CA04"/>
    <w:rsid w:val="ED7D9823"/>
    <w:rsid w:val="EDFF1AC4"/>
    <w:rsid w:val="EE23C2D1"/>
    <w:rsid w:val="EEAABA4F"/>
    <w:rsid w:val="EEEBC8D8"/>
    <w:rsid w:val="EF6FB5E2"/>
    <w:rsid w:val="EF7FCEC9"/>
    <w:rsid w:val="EFAF9E0B"/>
    <w:rsid w:val="EFE75314"/>
    <w:rsid w:val="EFEC403F"/>
    <w:rsid w:val="F1FF590B"/>
    <w:rsid w:val="F25FF787"/>
    <w:rsid w:val="F27FF53C"/>
    <w:rsid w:val="F2F797C0"/>
    <w:rsid w:val="F2FBD781"/>
    <w:rsid w:val="F37F8B9E"/>
    <w:rsid w:val="F37FA4E0"/>
    <w:rsid w:val="F3D42B28"/>
    <w:rsid w:val="F3FB40C2"/>
    <w:rsid w:val="F57F929C"/>
    <w:rsid w:val="F5BFEC18"/>
    <w:rsid w:val="F6FD8BB5"/>
    <w:rsid w:val="F73BEAC6"/>
    <w:rsid w:val="F7BF3165"/>
    <w:rsid w:val="F7EF14B3"/>
    <w:rsid w:val="F7F3C8D5"/>
    <w:rsid w:val="F7FF5A8B"/>
    <w:rsid w:val="F97706EA"/>
    <w:rsid w:val="F9EBE6CD"/>
    <w:rsid w:val="FB1E85BB"/>
    <w:rsid w:val="FB4BCDF2"/>
    <w:rsid w:val="FBBDDDE0"/>
    <w:rsid w:val="FBC7CA5B"/>
    <w:rsid w:val="FBC7DFAC"/>
    <w:rsid w:val="FBDF5348"/>
    <w:rsid w:val="FBE1D052"/>
    <w:rsid w:val="FBEE3097"/>
    <w:rsid w:val="FBF5E236"/>
    <w:rsid w:val="FC4FD9CC"/>
    <w:rsid w:val="FD4BA785"/>
    <w:rsid w:val="FDDA4AF3"/>
    <w:rsid w:val="FDE72397"/>
    <w:rsid w:val="FDE918B1"/>
    <w:rsid w:val="FDEF510E"/>
    <w:rsid w:val="FDF2354E"/>
    <w:rsid w:val="FDFD9D63"/>
    <w:rsid w:val="FE7BE1EE"/>
    <w:rsid w:val="FEF32B54"/>
    <w:rsid w:val="FEFE519B"/>
    <w:rsid w:val="FF3F3A85"/>
    <w:rsid w:val="FF4C2C1A"/>
    <w:rsid w:val="FF5F468A"/>
    <w:rsid w:val="FF8ECD80"/>
    <w:rsid w:val="FFA1A8EA"/>
    <w:rsid w:val="FFA8BF7F"/>
    <w:rsid w:val="FFADBA83"/>
    <w:rsid w:val="FFBF55B3"/>
    <w:rsid w:val="FFDCB5C9"/>
    <w:rsid w:val="FFDFAF63"/>
    <w:rsid w:val="FFDFE463"/>
    <w:rsid w:val="FFEB1EB7"/>
    <w:rsid w:val="FFEED6CE"/>
    <w:rsid w:val="FFEFA226"/>
    <w:rsid w:val="FFF3C646"/>
    <w:rsid w:val="FFFB34F2"/>
    <w:rsid w:val="FFFBE6E5"/>
    <w:rsid w:val="FFFD2705"/>
    <w:rsid w:val="FFFD6FA6"/>
    <w:rsid w:val="FFFDFB4D"/>
    <w:rsid w:val="FFFF8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page number"/>
    <w:basedOn w:val="5"/>
    <w:uiPriority w:val="0"/>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8987</Words>
  <Characters>9585</Characters>
  <Lines>0</Lines>
  <Paragraphs>0</Paragraphs>
  <TotalTime>13</TotalTime>
  <ScaleCrop>false</ScaleCrop>
  <LinksUpToDate>false</LinksUpToDate>
  <CharactersWithSpaces>9979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2023-04-14T07:23:44Z</dcterms:created>
  <dc:creator>greatwall</dc:creator>
  <cp:lastModifiedBy>对啊，我就是吃货</cp:lastModifiedBy>
  <cp:lastPrinted>2023-04-26T01:06:19Z</cp:lastPrinted>
  <dcterms:modified xsi:type="dcterms:W3CDTF">2023-06-13T09:20:53Z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7068069560454376B0D3E65D25E2E229_13</vt:lpwstr>
  </property>
</Properties>
</file>