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湖南九郎山职教科创城校企联合培养技能人才专项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资金的公示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根据中共株洲市委人才工作领导小组办公室、株洲职业教育科技园管理办公室《关于印发〔湖南九郎山职业教育科创城校企联合培养技能人才专项奖励办法（试行）〕的通知》要求，我办组织实施了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职教城各院校校企联合培养技能人才专项奖励考评工作。2022年度职教城校企联合培养技能人才工作稳步推进，经院校申报和实地考核，部分院校符合奖励条件。经我办党组会议审议并提交市委人才办主任会议审定，拟实施奖励情况如下：</w:t>
      </w:r>
    </w:p>
    <w:p>
      <w:pPr>
        <w:spacing w:line="600" w:lineRule="exact"/>
        <w:ind w:firstLine="645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1.湖南铁路科技职业技术学院湖南铁路科技职业技术学院46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1200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元。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2.湖南汽车工程职业学院产业学院50000元。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3.湖南省商业技师学院产业学院50000元。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4.湖南化工职业技术学院产业学院50000元。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现予以公示，如有问题请在公示期内反映。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公示时间：2023年7月19日—2023年7月26日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受理电话：13387330082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受理地点：株洲市石峰区明礼路8号创业大厦712室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附：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1.2022年度职教城校企联合技能人才情况表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2.2022年度职教各院校奖励资金下拨表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3222" w:firstLineChars="1007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株洲职业教育科技园管理办公室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420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2023年7月12日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rPr>
          <w:rFonts w:hint="default"/>
          <w:lang w:val="en-US" w:eastAsia="zh-CN"/>
        </w:rPr>
      </w:pP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2022年度职教城校企联合技能人才情况表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rPr>
          <w:rFonts w:hint="default"/>
          <w:lang w:val="en-US" w:eastAsia="zh-CN"/>
        </w:rPr>
      </w:pPr>
    </w:p>
    <w:tbl>
      <w:tblPr>
        <w:tblStyle w:val="8"/>
        <w:tblW w:w="10665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79"/>
        <w:gridCol w:w="1146"/>
        <w:gridCol w:w="1080"/>
        <w:gridCol w:w="1155"/>
        <w:gridCol w:w="1200"/>
        <w:gridCol w:w="142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2022年本地就业（与本地企业签订合同）人数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2021年本地就业（与本地企业签订合同）人数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2022年本地就业（与本地企业签订合同）人数同比增长率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2022年本地就业且签订三年以上劳动合同人数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2022年新增产业学院名称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15.83%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未有相关资料佐证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株洲师范高等专科学校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50.11%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通用航空产业学院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新建产业学院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湖南工贸技师学院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智慧零售产业学院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新建产业学院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86.61%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专精特新产业学院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时代工匠产业学院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本地就业且签订三年劳动合同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102人，本地就业人数同比增长率最高，新建产业学院2所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21.21%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" w:eastAsia="zh-CN"/>
              </w:rPr>
              <w:t>无机硅化物新材料产业学院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新建产业学院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0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900" w:leftChars="0" w:hanging="900" w:hangingChars="5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说明：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1、根据省教育厅湘教通【2021】170号文件规定，毕业生“就业率”变更为“毕业去向落实率”；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360" w:leftChars="0" w:hanging="360" w:hanging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、2022年度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湖南工贸技师学院与湖南省商业技师学院由于学制调整，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年无技工类毕业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。与上年相比，两所学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360" w:leftChars="0" w:hanging="360" w:hanging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校毕业生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减少，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本地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去向落实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人数也相应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减少约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，影响园区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体毕业生本地去向落实率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360" w:leftChars="0" w:hanging="360" w:hangingChars="200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2022年职教科创城院校毕业生本地去向落实人数总数为6675人。</w:t>
            </w:r>
          </w:p>
        </w:tc>
      </w:tr>
    </w:tbl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2022年度职教各院校奖励资金下拨表</w:t>
      </w:r>
    </w:p>
    <w:tbl>
      <w:tblPr>
        <w:tblStyle w:val="8"/>
        <w:tblW w:w="10011" w:type="dxa"/>
        <w:tblInd w:w="-7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220"/>
        <w:gridCol w:w="1917"/>
        <w:gridCol w:w="2183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5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2022年度奖励资金（元）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本地就业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本地就业增长率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湖南省商业技师学院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61200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41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以上合计</w:t>
            </w:r>
          </w:p>
        </w:tc>
        <w:tc>
          <w:tcPr>
            <w:tcW w:w="58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 w:eastAsia="zh-CN"/>
              </w:rPr>
              <w:t>611200</w:t>
            </w:r>
          </w:p>
        </w:tc>
      </w:tr>
    </w:tbl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jc5NTE4MDIzMzE5Yjk5YWQ1NzZlNzM3ODIyOTUifQ=="/>
  </w:docVars>
  <w:rsids>
    <w:rsidRoot w:val="E76753A6"/>
    <w:rsid w:val="05EA73D6"/>
    <w:rsid w:val="0771D855"/>
    <w:rsid w:val="13FB1D34"/>
    <w:rsid w:val="1B7F2613"/>
    <w:rsid w:val="2BFFB63B"/>
    <w:rsid w:val="312695DD"/>
    <w:rsid w:val="376F6584"/>
    <w:rsid w:val="3ADFBD30"/>
    <w:rsid w:val="3D7F0231"/>
    <w:rsid w:val="3EFF2C54"/>
    <w:rsid w:val="3FBF0E2E"/>
    <w:rsid w:val="4FF19087"/>
    <w:rsid w:val="5377A327"/>
    <w:rsid w:val="5DEFCFB6"/>
    <w:rsid w:val="5DFB8C29"/>
    <w:rsid w:val="5FD5F6E0"/>
    <w:rsid w:val="5FF17628"/>
    <w:rsid w:val="62105AA8"/>
    <w:rsid w:val="6BB79C09"/>
    <w:rsid w:val="6DCF7C91"/>
    <w:rsid w:val="6EB7918B"/>
    <w:rsid w:val="6EFBE4B6"/>
    <w:rsid w:val="6EFFD09E"/>
    <w:rsid w:val="707D3665"/>
    <w:rsid w:val="74DB898E"/>
    <w:rsid w:val="76DF3EE8"/>
    <w:rsid w:val="77FB3E47"/>
    <w:rsid w:val="7D7F54FC"/>
    <w:rsid w:val="7DFE200D"/>
    <w:rsid w:val="7E6F9851"/>
    <w:rsid w:val="7FB7BC66"/>
    <w:rsid w:val="7FBF6E52"/>
    <w:rsid w:val="7FD53DCE"/>
    <w:rsid w:val="7FE6F17B"/>
    <w:rsid w:val="7FEA4AF1"/>
    <w:rsid w:val="7FFA6D6F"/>
    <w:rsid w:val="7FFF4C10"/>
    <w:rsid w:val="A979E6C6"/>
    <w:rsid w:val="ABFA2039"/>
    <w:rsid w:val="ADE2D09D"/>
    <w:rsid w:val="AFFDF7D3"/>
    <w:rsid w:val="B6F7900C"/>
    <w:rsid w:val="BA372351"/>
    <w:rsid w:val="BEDF845F"/>
    <w:rsid w:val="BFFEFAF4"/>
    <w:rsid w:val="CF5F6AF0"/>
    <w:rsid w:val="D8746AE1"/>
    <w:rsid w:val="D8DA76FD"/>
    <w:rsid w:val="DF6ED43D"/>
    <w:rsid w:val="DF7DFC9A"/>
    <w:rsid w:val="DFFBAF06"/>
    <w:rsid w:val="E76753A6"/>
    <w:rsid w:val="E7BF47DD"/>
    <w:rsid w:val="E8FFE9B7"/>
    <w:rsid w:val="EAEEDDC1"/>
    <w:rsid w:val="EDFA1AA4"/>
    <w:rsid w:val="EF2FEE92"/>
    <w:rsid w:val="EFEF5249"/>
    <w:rsid w:val="F1DAB260"/>
    <w:rsid w:val="F6DFAD37"/>
    <w:rsid w:val="F7D6F612"/>
    <w:rsid w:val="F7DF2A69"/>
    <w:rsid w:val="FB6E079A"/>
    <w:rsid w:val="FBD0E7E9"/>
    <w:rsid w:val="FD8FA960"/>
    <w:rsid w:val="FF7F7EFB"/>
    <w:rsid w:val="FFAF9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spacing w:before="100" w:beforeAutospacing="1"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next w:val="1"/>
    <w:unhideWhenUsed/>
    <w:qFormat/>
    <w:uiPriority w:val="99"/>
    <w:pPr>
      <w:ind w:firstLine="420"/>
    </w:pPr>
  </w:style>
  <w:style w:type="paragraph" w:customStyle="1" w:styleId="10">
    <w:name w:val="正文文字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1279</Words>
  <Characters>1469</Characters>
  <Lines>0</Lines>
  <Paragraphs>0</Paragraphs>
  <TotalTime>1</TotalTime>
  <ScaleCrop>false</ScaleCrop>
  <LinksUpToDate>false</LinksUpToDate>
  <CharactersWithSpaces>1470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2022-03-30T13:49:00Z</dcterms:created>
  <dc:creator>greatwall</dc:creator>
  <cp:lastModifiedBy>greatwall</cp:lastModifiedBy>
  <cp:lastPrinted>2023-07-13T19:36:00Z</cp:lastPrinted>
  <dcterms:modified xsi:type="dcterms:W3CDTF">2023-07-19T09:54:56Z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58B97EF8AC884E32B2D8DE895D7E1EED_12</vt:lpwstr>
  </property>
</Properties>
</file>